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Monday, December 9, 2019 7:07:00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104937348</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8 Immigration Law and Procedure § 104.04</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habeas</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Treatises, Practice Guides &amp; Jurisprudence</w:t>
            </w:r>
          </w:p>
        </w:tc>
      </w:tr>
    </w:tbl>
    <w:p>
      <w:pPr>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p>
    <w:p>
      <w:pPr>
        <w:rPr>
          <w:rFonts w:ascii="arial" w:eastAsia="arial" w:hAnsi="arial" w:cs="arial"/>
          <w:sz w:val="20"/>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rFonts w:ascii="arial" w:eastAsia="arial" w:hAnsi="arial" w:cs="arial"/>
          <w:sz w:val="20"/>
          <w:lang w:val="en-US" w:eastAsia="en-US" w:bidi="ar-SA"/>
        </w:rPr>
      </w:pPr>
      <w:bookmarkStart w:id="0" w:name="Bookmark_1"/>
      <w:bookmarkEnd w:id="0"/>
    </w:p>
    <w:p>
      <w:pPr>
        <w:spacing w:before="240" w:after="200" w:line="340" w:lineRule="atLeast"/>
        <w:jc w:val="center"/>
        <w:outlineLvl w:val="0"/>
        <w:rPr>
          <w:rFonts w:ascii="Arial" w:eastAsia="arial" w:hAnsi="Arial" w:cs="Arial"/>
          <w:b/>
          <w:bCs/>
          <w:kern w:val="32"/>
          <w:sz w:val="32"/>
          <w:szCs w:val="32"/>
          <w:lang w:val="en-US" w:eastAsia="en-US" w:bidi="ar-SA"/>
        </w:rPr>
      </w:pPr>
      <w:hyperlink r:id="rId19" w:history="1">
        <w:r>
          <w:rPr>
            <w:rFonts w:ascii="arial" w:eastAsia="arial" w:hAnsi="arial" w:cs="arial"/>
            <w:b/>
            <w:bCs/>
            <w:i/>
            <w:color w:val="0077CC"/>
            <w:kern w:val="32"/>
            <w:sz w:val="28"/>
            <w:szCs w:val="32"/>
            <w:u w:val="single"/>
            <w:shd w:val="clear" w:color="auto" w:fill="FFFFFF"/>
            <w:lang w:val="en-US" w:eastAsia="en-US" w:bidi="ar-SA"/>
          </w:rPr>
          <w:t>8 Immigration Law and Procedure § 104.04</w:t>
        </w:r>
      </w:hyperlink>
    </w:p>
    <w:p>
      <w:pPr>
        <w:spacing w:line="260" w:lineRule="atLeast"/>
        <w:jc w:val="both"/>
        <w:rPr>
          <w:rFonts w:ascii="arial" w:eastAsia="arial" w:hAnsi="arial" w:cs="arial"/>
          <w:sz w:val="20"/>
          <w:lang w:val="en-US" w:eastAsia="en-US" w:bidi="ar-SA"/>
        </w:rPr>
      </w:pPr>
    </w:p>
    <w:p>
      <w:pPr>
        <w:spacing w:before="200" w:line="280" w:lineRule="atLeast"/>
        <w:rPr>
          <w:rFonts w:ascii="arial" w:eastAsia="arial" w:hAnsi="arial" w:cs="arial"/>
          <w:sz w:val="20"/>
          <w:lang w:val="en-US" w:eastAsia="en-US" w:bidi="ar-SA"/>
        </w:rPr>
      </w:pPr>
      <w:r>
        <w:rPr>
          <w:rFonts w:ascii="arial" w:eastAsia="arial" w:hAnsi="arial" w:cs="arial"/>
          <w:b/>
          <w:i/>
          <w:color w:val="000000"/>
          <w:sz w:val="22"/>
          <w:lang w:val="en-US" w:eastAsia="en-US" w:bidi="ar-SA"/>
        </w:rPr>
        <w:t>Immigration Law and Procedure</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PART 9 JUDICIAL REVIEW</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CHAPTER 104 Judicial Review</w:t>
      </w:r>
    </w:p>
    <w:p>
      <w:pPr>
        <w:keepNext/>
        <w:spacing w:before="240" w:line="34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b/>
          <w:color w:val="000000"/>
          <w:sz w:val="28"/>
          <w:lang w:val="en-US" w:eastAsia="en-US" w:bidi="ar-SA"/>
        </w:rPr>
        <w:t>§ 104.04 </w:t>
      </w:r>
      <w:r>
        <w:rPr>
          <w:rFonts w:ascii="arial" w:eastAsia="arial" w:hAnsi="arial" w:cs="arial"/>
          <w:b/>
          <w:i/>
          <w:color w:val="000000"/>
          <w:sz w:val="28"/>
          <w:u w:val="single"/>
          <w:lang w:val="en-US" w:eastAsia="en-US" w:bidi="ar-SA"/>
        </w:rPr>
        <w:t>Habeas</w:t>
      </w:r>
      <w:r>
        <w:rPr>
          <w:rFonts w:ascii="arial" w:eastAsia="arial" w:hAnsi="arial" w:cs="arial"/>
          <w:b/>
          <w:color w:val="000000"/>
          <w:sz w:val="28"/>
          <w:lang w:val="en-US" w:eastAsia="en-US" w:bidi="ar-SA"/>
        </w:rPr>
        <w:t xml:space="preserve"> Corpus</w:t>
      </w:r>
      <w:r>
        <w:rPr>
          <w:rFonts w:ascii="arial" w:eastAsia="arial" w:hAnsi="arial" w:cs="arial"/>
          <w:sz w:val="20"/>
          <w:vertAlign w:val="superscript"/>
          <w:lang w:val="en-US" w:eastAsia="en-US" w:bidi="ar-SA"/>
        </w:rPr>
        <w:footnoteReference w:customMarkFollows="1" w:id="0"/>
        <w:t xml:space="preserve">*</w:t>
      </w:r>
    </w:p>
    <w:p>
      <w:pPr>
        <w:spacing w:line="60" w:lineRule="exact"/>
        <w:rPr>
          <w:rFonts w:ascii="arial" w:eastAsia="arial" w:hAnsi="arial" w:cs="arial"/>
          <w:sz w:val="20"/>
          <w:lang w:val="en-US" w:eastAsia="en-US" w:bidi="ar-SA"/>
        </w:rPr>
      </w:pPr>
      <w:r>
        <w:pict>
          <v:line id="_x0000_s1026" style="position:absolute;z-index:251658240" from="0,2pt" to="512pt,2pt" strokecolor="#009ddb" strokeweight="2pt">
            <v:stroke linestyle="single"/>
            <w10:wrap type="topAndBottom"/>
          </v:line>
        </w:pict>
      </w:r>
    </w:p>
    <w:p>
      <w:pPr>
        <w:rPr>
          <w:rFonts w:ascii="arial" w:eastAsia="arial" w:hAnsi="arial" w:cs="arial"/>
          <w:sz w:val="20"/>
          <w:lang w:val="en-US" w:eastAsia="en-US" w:bidi="ar-SA"/>
        </w:rPr>
      </w:pPr>
    </w:p>
    <w:p>
      <w:pPr>
        <w:rPr>
          <w:rFonts w:ascii="arial" w:eastAsia="arial" w:hAnsi="arial" w:cs="arial"/>
          <w:sz w:val="20"/>
          <w:lang w:val="en-US" w:eastAsia="en-US" w:bidi="ar-SA"/>
        </w:rPr>
      </w:pPr>
      <w:bookmarkStart w:id="1" w:name="Bookmark_TAAB"/>
      <w:bookmarkEnd w:id="1"/>
      <w:bookmarkStart w:id="2" w:name="Bookmark__1"/>
      <w:bookmarkEnd w:id="2"/>
    </w:p>
    <w:p>
      <w:pPr>
        <w:numPr>
          <w:numId w:val="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Overview</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section reviews the nature and history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jurisdiction in immigration law. It first discusses the importance of the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in immigration law and the basic statutory and constitutional authority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 The section provides a brief overview of the history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in immigration law before 1996, including the historical importance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in exclusion cases. The section also summarizes the most significant changes to the courts’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jurisdiction since 1996.</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section then focuses on the current scope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jurisdiction in immigration removal and detention cases, especially in light of recent court decisions that interpret the statutory changes enacted by the REAL ID Act of 2005 and the impact of this legislation on both statutory and constitutional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jurisdiction.</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Finally, the section discusses other important aspects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practice, including the “in custody” requirement, personal jurisdiction, mootness, and other issues.</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section concludes with an outline of procedures in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cases, including appeal and finality.</w:t>
      </w:r>
    </w:p>
    <w:p>
      <w:pPr>
        <w:rPr>
          <w:rFonts w:ascii="arial" w:eastAsia="arial" w:hAnsi="arial" w:cs="arial"/>
          <w:sz w:val="20"/>
          <w:lang w:val="en-US" w:eastAsia="en-US" w:bidi="ar-SA"/>
        </w:rPr>
      </w:pPr>
      <w:bookmarkStart w:id="3" w:name="Bookmark_TAAC"/>
      <w:bookmarkEnd w:id="3"/>
      <w:bookmarkStart w:id="4" w:name="Bookmark__2"/>
      <w:bookmarkEnd w:id="4"/>
    </w:p>
    <w:p>
      <w:pPr>
        <w:numPr>
          <w:numId w:val="2"/>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Nature and History of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in Immigration Law</w:t>
      </w:r>
    </w:p>
    <w:p>
      <w:pPr>
        <w:rPr>
          <w:rFonts w:ascii="arial" w:eastAsia="arial" w:hAnsi="arial" w:cs="arial"/>
          <w:sz w:val="20"/>
          <w:lang w:val="en-US" w:eastAsia="en-US" w:bidi="ar-SA"/>
        </w:rPr>
      </w:pPr>
      <w:bookmarkStart w:id="5" w:name="Bookmark_TAACAAB"/>
      <w:bookmarkEnd w:id="5"/>
      <w:bookmarkStart w:id="6" w:name="Bookmark__2_a"/>
      <w:bookmarkEnd w:id="6"/>
    </w:p>
    <w:p>
      <w:pPr>
        <w:numPr>
          <w:numId w:val="3"/>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Overview</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is the fundamental instrument for safeguarding individual freedom against arbitrary and lawless government action.</w:t>
      </w:r>
      <w:r>
        <w:rPr>
          <w:rFonts w:ascii="arial" w:eastAsia="arial" w:hAnsi="arial" w:cs="arial"/>
          <w:sz w:val="20"/>
          <w:vertAlign w:val="superscript"/>
          <w:lang w:val="en-US" w:eastAsia="en-US" w:bidi="ar-SA"/>
        </w:rPr>
        <w:footnoteReference w:customMarkFollows="1" w:id="1"/>
        <w:t xml:space="preserve">1</w:t>
      </w:r>
      <w:r>
        <w:rPr>
          <w:rFonts w:ascii="arial" w:eastAsia="arial" w:hAnsi="arial" w:cs="arial"/>
          <w:color w:val="000000"/>
          <w:sz w:val="20"/>
          <w:lang w:val="en-US" w:eastAsia="en-US" w:bidi="ar-SA"/>
        </w:rPr>
        <w:t xml:space="preserve"> The privilege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is rooted in the U.S. Constitution’s Suspension Clause.</w:t>
      </w:r>
      <w:r>
        <w:rPr>
          <w:rFonts w:ascii="arial" w:eastAsia="arial" w:hAnsi="arial" w:cs="arial"/>
          <w:sz w:val="20"/>
          <w:vertAlign w:val="superscript"/>
          <w:lang w:val="en-US" w:eastAsia="en-US" w:bidi="ar-SA"/>
        </w:rPr>
        <w:footnoteReference w:customMarkFollows="1" w:id="2"/>
        <w:t xml:space="preserve">2</w:t>
      </w:r>
      <w:r>
        <w:rPr>
          <w:rFonts w:ascii="arial" w:eastAsia="arial" w:hAnsi="arial" w:cs="arial"/>
          <w:color w:val="000000"/>
          <w:sz w:val="20"/>
          <w:lang w:val="en-US" w:eastAsia="en-US" w:bidi="ar-SA"/>
        </w:rPr>
        <w:t xml:space="preserve"> It has a pre-eminent role in our constitutional system; its scope, flexibility, and capacity to reach all manner of illegal detentions have been emphasized and jealously guarded.</w:t>
      </w:r>
      <w:r>
        <w:rPr>
          <w:rFonts w:ascii="arial" w:eastAsia="arial" w:hAnsi="arial" w:cs="arial"/>
          <w:sz w:val="20"/>
          <w:vertAlign w:val="superscript"/>
          <w:lang w:val="en-US" w:eastAsia="en-US" w:bidi="ar-SA"/>
        </w:rPr>
        <w:footnoteReference w:customMarkFollows="1" w:id="3"/>
        <w:t xml:space="preserve">3</w:t>
      </w:r>
      <w:r>
        <w:rPr>
          <w:rFonts w:ascii="arial" w:eastAsia="arial" w:hAnsi="arial" w:cs="arial"/>
          <w:color w:val="000000"/>
          <w:sz w:val="20"/>
          <w:lang w:val="en-US" w:eastAsia="en-US" w:bidi="ar-SA"/>
        </w:rPr>
        <w:t xml:space="preserve"> Further,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is the historic—and most fundamental—basis for judicial review of immigration orders.</w:t>
      </w:r>
      <w:r>
        <w:rPr>
          <w:rFonts w:ascii="arial" w:eastAsia="arial" w:hAnsi="arial" w:cs="arial"/>
          <w:sz w:val="20"/>
          <w:vertAlign w:val="superscript"/>
          <w:lang w:val="en-US" w:eastAsia="en-US" w:bidi="ar-SA"/>
        </w:rPr>
        <w:footnoteReference w:customMarkFollows="1" w:id="4"/>
        <w:t xml:space="preserve">4</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role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in the immigration context is distinct from its function in the criminal law arena.</w:t>
      </w:r>
      <w:r>
        <w:rPr>
          <w:rFonts w:ascii="arial" w:eastAsia="arial" w:hAnsi="arial" w:cs="arial"/>
          <w:sz w:val="20"/>
          <w:vertAlign w:val="superscript"/>
          <w:lang w:val="en-US" w:eastAsia="en-US" w:bidi="ar-SA"/>
        </w:rPr>
        <w:footnoteReference w:customMarkFollows="1" w:id="5"/>
        <w:t xml:space="preserve">5</w:t>
      </w:r>
      <w:r>
        <w:rPr>
          <w:rFonts w:ascii="arial" w:eastAsia="arial" w:hAnsi="arial" w:cs="arial"/>
          <w:color w:val="000000"/>
          <w:sz w:val="20"/>
          <w:lang w:val="en-US" w:eastAsia="en-US" w:bidi="ar-SA"/>
        </w:rPr>
        <w:t xml:space="preserve"> In a criminal case, the court is asked to review a final judicial proceeding after the defendant has had the right to the full panoply of criminal appeals.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 in the criminal context typically seeks additional collateral review of a criminal conviction or guilty plea entered in a state or federal judicial proceeding. In that context, the values of comity and respect for the finality of judgments may argue for a degree of deference.</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the immigration context, however, a petitioner filing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action often seeks initial review of an administrative decision where no judicial proceeding has occurred and where no other review may be available. The immigration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 may be the only judicial check on the legality of the executive branch’s benefits adjudications and of its detention, deportation, or removal decisions.</w:t>
      </w:r>
      <w:r>
        <w:rPr>
          <w:rFonts w:ascii="arial" w:eastAsia="arial" w:hAnsi="arial" w:cs="arial"/>
          <w:sz w:val="20"/>
          <w:vertAlign w:val="superscript"/>
          <w:lang w:val="en-US" w:eastAsia="en-US" w:bidi="ar-SA"/>
        </w:rPr>
        <w:footnoteReference w:customMarkFollows="1" w:id="6"/>
        <w:t xml:space="preserve">6</w:t>
      </w:r>
      <w:r>
        <w:rPr>
          <w:rFonts w:ascii="arial" w:eastAsia="arial" w:hAnsi="arial" w:cs="arial"/>
          <w:color w:val="000000"/>
          <w:sz w:val="20"/>
          <w:lang w:val="en-US" w:eastAsia="en-US" w:bidi="ar-SA"/>
        </w:rPr>
        <w:t xml:space="preserve"> Such review is the core constitutional function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w:t>
      </w:r>
      <w:r>
        <w:rPr>
          <w:rFonts w:ascii="arial" w:eastAsia="arial" w:hAnsi="arial" w:cs="arial"/>
          <w:sz w:val="20"/>
          <w:vertAlign w:val="superscript"/>
          <w:lang w:val="en-US" w:eastAsia="en-US" w:bidi="ar-SA"/>
        </w:rPr>
        <w:footnoteReference w:customMarkFollows="1" w:id="7"/>
        <w:t xml:space="preserve">7</w:t>
      </w:r>
    </w:p>
    <w:p>
      <w:pPr>
        <w:rPr>
          <w:rFonts w:ascii="arial" w:eastAsia="arial" w:hAnsi="arial" w:cs="arial"/>
          <w:sz w:val="20"/>
          <w:lang w:val="en-US" w:eastAsia="en-US" w:bidi="ar-SA"/>
        </w:rPr>
      </w:pPr>
      <w:bookmarkStart w:id="7" w:name="Bookmark_TAACAAC"/>
      <w:bookmarkEnd w:id="7"/>
      <w:bookmarkStart w:id="8" w:name="Bookmark__2_b"/>
      <w:bookmarkEnd w:id="8"/>
    </w:p>
    <w:p>
      <w:pPr>
        <w:numPr>
          <w:numId w:val="4"/>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Statutory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district courts may exercise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jurisdiction pursuant to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That statute states, in pertinent part:</w:t>
      </w:r>
    </w:p>
    <w:p>
      <w:pPr>
        <w:numPr>
          <w:numId w:val="5"/>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Writs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may be granted by the Supreme Court, any justice thereof, the district courts and any circuit judge within their respective jurisdictions …</w:t>
      </w:r>
    </w:p>
    <w:p>
      <w:pPr>
        <w:numPr>
          <w:numId w:val="5"/>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shall not extend to a prisoner unless—</w:t>
      </w:r>
    </w:p>
    <w:p>
      <w:pPr>
        <w:numPr>
          <w:numId w:val="6"/>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He is in custody under or by color of the authority of the United States …</w:t>
      </w:r>
    </w:p>
    <w:p>
      <w:pPr>
        <w:numPr>
          <w:numId w:val="6"/>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He is in custody in violation of the Constitution or laws or treaties of the United States … .</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Before the Antiterrorism and Effective Death Penalty Act of 1996 (AEDPA)</w:t>
      </w:r>
      <w:r>
        <w:rPr>
          <w:rFonts w:ascii="arial" w:eastAsia="arial" w:hAnsi="arial" w:cs="arial"/>
          <w:sz w:val="20"/>
          <w:vertAlign w:val="superscript"/>
          <w:lang w:val="en-US" w:eastAsia="en-US" w:bidi="ar-SA"/>
        </w:rPr>
        <w:footnoteReference w:customMarkFollows="1" w:id="8"/>
        <w:t xml:space="preserve">8</w:t>
      </w:r>
      <w:r>
        <w:rPr>
          <w:rFonts w:ascii="arial" w:eastAsia="arial" w:hAnsi="arial" w:cs="arial"/>
          <w:color w:val="000000"/>
          <w:sz w:val="20"/>
          <w:lang w:val="en-US" w:eastAsia="en-US" w:bidi="ar-SA"/>
        </w:rPr>
        <w:t xml:space="preserve"> amended the Immigration and Nationality Act (INA), there were two statutory bases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in the immigration context, one set forth in the INA itself at § 106(a)(10)</w:t>
      </w:r>
      <w:r>
        <w:rPr>
          <w:rFonts w:ascii="arial" w:eastAsia="arial" w:hAnsi="arial" w:cs="arial"/>
          <w:sz w:val="20"/>
          <w:vertAlign w:val="superscript"/>
          <w:lang w:val="en-US" w:eastAsia="en-US" w:bidi="ar-SA"/>
        </w:rPr>
        <w:footnoteReference w:customMarkFollows="1" w:id="9"/>
        <w:t xml:space="preserve">9</w:t>
      </w:r>
      <w:r>
        <w:rPr>
          <w:rFonts w:ascii="arial" w:eastAsia="arial" w:hAnsi="arial" w:cs="arial"/>
          <w:color w:val="000000"/>
          <w:sz w:val="20"/>
          <w:lang w:val="en-US" w:eastAsia="en-US" w:bidi="ar-SA"/>
        </w:rPr>
        <w:t xml:space="preserve"> and the other, the traditional federal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statute, set forth at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AEDPA § 401(e) repealed § 106(a)(10), leaving uncertainty about the state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in the immigration context.</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Before the AEDPA took effect, courts typically did not distinguish between statutory and constitutional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or between the INA’s grant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authority and the federal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statute.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practice in immigration cases generally conformed to the outlines established in the general federal statute. After the AEDPA and the Illegal Immigration Reform and Immigrant Responsibility Act of 1996 (IIRAIRA),</w:t>
      </w:r>
      <w:r>
        <w:rPr>
          <w:rFonts w:ascii="arial" w:eastAsia="arial" w:hAnsi="arial" w:cs="arial"/>
          <w:sz w:val="20"/>
          <w:vertAlign w:val="superscript"/>
          <w:lang w:val="en-US" w:eastAsia="en-US" w:bidi="ar-SA"/>
        </w:rPr>
        <w:footnoteReference w:customMarkFollows="1" w:id="10"/>
        <w:t xml:space="preserve">10</w:t>
      </w:r>
      <w:r>
        <w:rPr>
          <w:rFonts w:ascii="arial" w:eastAsia="arial" w:hAnsi="arial" w:cs="arial"/>
          <w:color w:val="000000"/>
          <w:sz w:val="20"/>
          <w:lang w:val="en-US" w:eastAsia="en-US" w:bidi="ar-SA"/>
        </w:rPr>
        <w:t xml:space="preserve"> and prolonged uncertainty as a result of differing appeals court decisions,</w:t>
      </w:r>
      <w:r>
        <w:rPr>
          <w:rFonts w:ascii="arial" w:eastAsia="arial" w:hAnsi="arial" w:cs="arial"/>
          <w:sz w:val="20"/>
          <w:vertAlign w:val="superscript"/>
          <w:lang w:val="en-US" w:eastAsia="en-US" w:bidi="ar-SA"/>
        </w:rPr>
        <w:footnoteReference w:customMarkFollows="1" w:id="11"/>
        <w:t xml:space="preserve">11</w:t>
      </w:r>
      <w:r>
        <w:rPr>
          <w:rFonts w:ascii="arial" w:eastAsia="arial" w:hAnsi="arial" w:cs="arial"/>
          <w:color w:val="000000"/>
          <w:sz w:val="20"/>
          <w:lang w:val="en-US" w:eastAsia="en-US" w:bidi="ar-SA"/>
        </w:rPr>
        <w:t xml:space="preserve"> the Supreme Court held in 2001 that absent an explicit statement of congressional intent, the guarantee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found in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survived the 1996 legislation, despite the repeal of the INA’s explicit guarantee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rights.</w:t>
      </w:r>
      <w:r>
        <w:rPr>
          <w:rFonts w:ascii="arial" w:eastAsia="arial" w:hAnsi="arial" w:cs="arial"/>
          <w:sz w:val="20"/>
          <w:vertAlign w:val="superscript"/>
          <w:lang w:val="en-US" w:eastAsia="en-US" w:bidi="ar-SA"/>
        </w:rPr>
        <w:footnoteReference w:customMarkFollows="1" w:id="12"/>
        <w:t xml:space="preserve">12</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made its intent with respect to the reach of the federal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statute in immigration proceedings explicit in 2005 as it enacted the REAL ID Act, adding language to the INA that expressly bars federal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under 8 U.S.C. § 2241 for orders of removal.</w:t>
      </w:r>
      <w:r>
        <w:rPr>
          <w:rFonts w:ascii="arial" w:eastAsia="arial" w:hAnsi="arial" w:cs="arial"/>
          <w:sz w:val="20"/>
          <w:vertAlign w:val="superscript"/>
          <w:lang w:val="en-US" w:eastAsia="en-US" w:bidi="ar-SA"/>
        </w:rPr>
        <w:footnoteReference w:customMarkFollows="1" w:id="13"/>
        <w:t xml:space="preserve">13</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REAL ID Act left intact, however,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jurisdiction over challenges to detention.</w:t>
      </w:r>
      <w:r>
        <w:rPr>
          <w:rFonts w:ascii="arial" w:eastAsia="arial" w:hAnsi="arial" w:cs="arial"/>
          <w:sz w:val="20"/>
          <w:vertAlign w:val="superscript"/>
          <w:lang w:val="en-US" w:eastAsia="en-US" w:bidi="ar-SA"/>
        </w:rPr>
        <w:footnoteReference w:customMarkFollows="1" w:id="14"/>
        <w:t xml:space="preserve">14</w:t>
      </w:r>
    </w:p>
    <w:p>
      <w:pPr>
        <w:rPr>
          <w:rFonts w:ascii="arial" w:eastAsia="arial" w:hAnsi="arial" w:cs="arial"/>
          <w:sz w:val="20"/>
          <w:lang w:val="en-US" w:eastAsia="en-US" w:bidi="ar-SA"/>
        </w:rPr>
      </w:pPr>
      <w:bookmarkStart w:id="9" w:name="Bookmark_TAACAAD"/>
      <w:bookmarkEnd w:id="9"/>
      <w:bookmarkStart w:id="10" w:name="Bookmark__2_c"/>
      <w:bookmarkEnd w:id="10"/>
    </w:p>
    <w:p>
      <w:pPr>
        <w:numPr>
          <w:numId w:val="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Constitutional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is guaranteed by the Constitution and cannot be suspended except where “in Cases of Rebellion or Invasion the public Safety may require it.”</w:t>
      </w:r>
      <w:r>
        <w:rPr>
          <w:rFonts w:ascii="arial" w:eastAsia="arial" w:hAnsi="arial" w:cs="arial"/>
          <w:sz w:val="20"/>
          <w:vertAlign w:val="superscript"/>
          <w:lang w:val="en-US" w:eastAsia="en-US" w:bidi="ar-SA"/>
        </w:rPr>
        <w:footnoteReference w:customMarkFollows="1" w:id="15"/>
        <w:t xml:space="preserve">15</w:t>
      </w:r>
      <w:r>
        <w:rPr>
          <w:rFonts w:ascii="arial" w:eastAsia="arial" w:hAnsi="arial" w:cs="arial"/>
          <w:color w:val="000000"/>
          <w:sz w:val="20"/>
          <w:lang w:val="en-US" w:eastAsia="en-US" w:bidi="ar-SA"/>
        </w:rPr>
        <w:t xml:space="preserve"> The absence of a specific statutory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provision in the INA does not create an impediment to the courts exercising their constitutional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w:t>
      </w:r>
      <w:r>
        <w:rPr>
          <w:rFonts w:ascii="arial" w:eastAsia="arial" w:hAnsi="arial" w:cs="arial"/>
          <w:sz w:val="20"/>
          <w:vertAlign w:val="superscript"/>
          <w:lang w:val="en-US" w:eastAsia="en-US" w:bidi="ar-SA"/>
        </w:rPr>
        <w:footnoteReference w:customMarkFollows="1" w:id="16"/>
        <w:t xml:space="preserve">16</w:t>
      </w:r>
      <w:r>
        <w:rPr>
          <w:rFonts w:ascii="arial" w:eastAsia="arial" w:hAnsi="arial" w:cs="arial"/>
          <w:color w:val="000000"/>
          <w:sz w:val="20"/>
          <w:lang w:val="en-US" w:eastAsia="en-US" w:bidi="ar-SA"/>
        </w:rPr>
        <w:t xml:space="preserve"> Soon after the AEDPA and the IIRAIRA took effect, some courts held that constitutional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survived the AEDPA’s purported removal of federal court jurisdiction over immigration decisions.</w:t>
      </w:r>
      <w:r>
        <w:rPr>
          <w:rFonts w:ascii="arial" w:eastAsia="arial" w:hAnsi="arial" w:cs="arial"/>
          <w:sz w:val="20"/>
          <w:vertAlign w:val="superscript"/>
          <w:lang w:val="en-US" w:eastAsia="en-US" w:bidi="ar-SA"/>
        </w:rPr>
        <w:footnoteReference w:customMarkFollows="1" w:id="17"/>
        <w:t xml:space="preserve">17</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 some cases concerning bars to judicial review under the AEDPA and the IIRAIRA, the government itself conceded that some review of constitutional claims remained.</w:t>
      </w:r>
      <w:r>
        <w:rPr>
          <w:rFonts w:ascii="arial" w:eastAsia="arial" w:hAnsi="arial" w:cs="arial"/>
          <w:sz w:val="20"/>
          <w:vertAlign w:val="superscript"/>
          <w:lang w:val="en-US" w:eastAsia="en-US" w:bidi="ar-SA"/>
        </w:rPr>
        <w:footnoteReference w:customMarkFollows="1" w:id="18"/>
        <w:t xml:space="preserve">18</w:t>
      </w:r>
      <w:r>
        <w:rPr>
          <w:rFonts w:ascii="arial" w:eastAsia="arial" w:hAnsi="arial" w:cs="arial"/>
          <w:color w:val="000000"/>
          <w:sz w:val="20"/>
          <w:lang w:val="en-US" w:eastAsia="en-US" w:bidi="ar-SA"/>
        </w:rPr>
        <w:t xml:space="preserve"> The more contentious issues continued to be when and in which court the petitioner must bring such constitutional claims and whether statutory and factual issues may be reviewed as well.</w:t>
      </w:r>
      <w:r>
        <w:rPr>
          <w:rFonts w:ascii="arial" w:eastAsia="arial" w:hAnsi="arial" w:cs="arial"/>
          <w:sz w:val="20"/>
          <w:vertAlign w:val="superscript"/>
          <w:lang w:val="en-US" w:eastAsia="en-US" w:bidi="ar-SA"/>
        </w:rPr>
        <w:footnoteReference w:customMarkFollows="1" w:id="19"/>
        <w:t xml:space="preserve">19</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enactment of the REAL ID Act in 2005, courts have continued to address these complex issues. Numerous court decisions have held that while Congress did indeed eliminate statutory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of immigration removal orders, Congress cannot eliminate constitutional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under the Suspension Clause. The courts continue to address the complex question of which immigration issues can be reviewed in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proceedings and which issues are now confined to review in the federal courts of appeals. The scope of current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as the result of the REAL ID Act’s prohibitions and subsequent court decisions and interpretations are discussed in </w:t>
      </w:r>
      <w:hyperlink r:id="rId19" w:history="1">
        <w:r>
          <w:rPr>
            <w:rFonts w:ascii="arial" w:eastAsia="arial" w:hAnsi="arial" w:cs="arial"/>
            <w:i/>
            <w:color w:val="0077CC"/>
            <w:sz w:val="20"/>
            <w:u w:val="single"/>
            <w:shd w:val="clear" w:color="auto" w:fill="FFFFFF"/>
            <w:lang w:val="en-US" w:eastAsia="en-US" w:bidi="ar-SA"/>
          </w:rPr>
          <w:t>§ 104.04[3]</w:t>
        </w:r>
      </w:hyperlink>
      <w:r>
        <w:rPr>
          <w:rFonts w:ascii="arial" w:eastAsia="arial" w:hAnsi="arial" w:cs="arial"/>
          <w:color w:val="000000"/>
          <w:sz w:val="20"/>
          <w:lang w:val="en-US" w:eastAsia="en-US" w:bidi="ar-SA"/>
        </w:rPr>
        <w:t>, below.</w:t>
      </w:r>
    </w:p>
    <w:p>
      <w:pPr>
        <w:rPr>
          <w:rFonts w:ascii="arial" w:eastAsia="arial" w:hAnsi="arial" w:cs="arial"/>
          <w:sz w:val="20"/>
          <w:lang w:val="en-US" w:eastAsia="en-US" w:bidi="ar-SA"/>
        </w:rPr>
      </w:pPr>
      <w:bookmarkStart w:id="11" w:name="Bookmark_TAACAAE"/>
      <w:bookmarkEnd w:id="11"/>
      <w:bookmarkStart w:id="12" w:name="Bookmark__2_d"/>
      <w:bookmarkEnd w:id="12"/>
    </w:p>
    <w:p>
      <w:pPr>
        <w:numPr>
          <w:numId w:val="8"/>
        </w:numPr>
        <w:spacing w:before="120" w:line="260" w:lineRule="atLeast"/>
        <w:jc w:val="both"/>
        <w:rPr>
          <w:rFonts w:ascii="arial" w:eastAsia="arial" w:hAnsi="arial" w:cs="arial"/>
          <w:sz w:val="20"/>
          <w:lang w:val="en-US" w:eastAsia="en-US" w:bidi="ar-SA"/>
        </w:rPr>
      </w:pP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in Immigration Law Before 1996</w:t>
      </w:r>
    </w:p>
    <w:p>
      <w:pPr>
        <w:rPr>
          <w:rFonts w:ascii="arial" w:eastAsia="arial" w:hAnsi="arial" w:cs="arial"/>
          <w:sz w:val="20"/>
          <w:lang w:val="en-US" w:eastAsia="en-US" w:bidi="ar-SA"/>
        </w:rPr>
      </w:pPr>
      <w:bookmarkStart w:id="13" w:name="Bookmark_TAACAAEAAB"/>
      <w:bookmarkEnd w:id="13"/>
      <w:bookmarkStart w:id="14" w:name="Bookmark__2_d_i"/>
      <w:bookmarkEnd w:id="14"/>
    </w:p>
    <w:p>
      <w:pPr>
        <w:numPr>
          <w:numId w:val="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Before 1961,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was the sole means for obtaining judicial review of deportation and exclusion orders.</w:t>
      </w:r>
      <w:r>
        <w:rPr>
          <w:rFonts w:ascii="arial" w:eastAsia="arial" w:hAnsi="arial" w:cs="arial"/>
          <w:sz w:val="20"/>
          <w:vertAlign w:val="superscript"/>
          <w:lang w:val="en-US" w:eastAsia="en-US" w:bidi="ar-SA"/>
        </w:rPr>
        <w:footnoteReference w:customMarkFollows="1" w:id="20"/>
        <w:t xml:space="preserve">20</w:t>
      </w:r>
      <w:r>
        <w:rPr>
          <w:rFonts w:ascii="arial" w:eastAsia="arial" w:hAnsi="arial" w:cs="arial"/>
          <w:color w:val="000000"/>
          <w:sz w:val="20"/>
          <w:lang w:val="en-US" w:eastAsia="en-US" w:bidi="ar-SA"/>
        </w:rPr>
        <w:t xml:space="preserve"> As a leading immigration law casebook notes:</w:t>
      </w:r>
      <w:r>
        <w:rPr>
          <w:rFonts w:ascii="arial" w:eastAsia="arial" w:hAnsi="arial" w:cs="arial"/>
          <w:sz w:val="20"/>
          <w:vertAlign w:val="superscript"/>
          <w:lang w:val="en-US" w:eastAsia="en-US" w:bidi="ar-SA"/>
        </w:rPr>
        <w:footnoteReference w:customMarkFollows="1" w:id="21"/>
        <w:t xml:space="preserve">21</w:t>
      </w:r>
    </w:p>
    <w:p>
      <w:pPr>
        <w:spacing w:before="60" w:line="260" w:lineRule="atLeast"/>
        <w:ind w:left="1480"/>
        <w:jc w:val="both"/>
        <w:rPr>
          <w:rFonts w:ascii="arial" w:eastAsia="arial" w:hAnsi="arial" w:cs="arial"/>
          <w:sz w:val="20"/>
          <w:lang w:val="en-US" w:eastAsia="en-US" w:bidi="ar-SA"/>
        </w:rPr>
      </w:pPr>
      <w:r>
        <w:rPr>
          <w:rFonts w:ascii="arial" w:eastAsia="arial" w:hAnsi="arial" w:cs="arial"/>
          <w:color w:val="000000"/>
          <w:sz w:val="20"/>
          <w:lang w:val="en-US" w:eastAsia="en-US" w:bidi="ar-SA"/>
        </w:rPr>
        <w:t>[I]t was not until 1961 that any general provisions for judicial review appeared in our immigration laws. Just how did the courts manage to assume jurisdiction?</w:t>
      </w:r>
    </w:p>
    <w:p>
      <w:pPr>
        <w:spacing w:before="120" w:line="260" w:lineRule="atLeast"/>
        <w:ind w:left="148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answer derives from the brute requirements of the removal process. No unwilling noncitizen can be removed without being physically restrained at some point. Classically, such physical restraint—custody—is the foundation for issuance of the Great Writ, the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 remedy guaranteed in the text of the Constitution … .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remedy was also the subject of federal statutes well before the first immigration acts were passed, and sometimes it is not clear whether particular features of current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practice derive from constitutional command or from statutory refinement.</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Between 1891 and 1952, the Supreme Court and the lower courts consistently adjudicated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petitions raising constitutional as well as nonconstitutional challenges to deportation and exclusion orders. The courts reviewed the procedures by which orders were obtained, the propriety of denying discretionary relief, and whether the order was based on a manifest abuse of discretion or the absence of any evidence to support it.</w:t>
      </w:r>
      <w:r>
        <w:rPr>
          <w:rFonts w:ascii="arial" w:eastAsia="arial" w:hAnsi="arial" w:cs="arial"/>
          <w:sz w:val="20"/>
          <w:vertAlign w:val="superscript"/>
          <w:lang w:val="en-US" w:eastAsia="en-US" w:bidi="ar-SA"/>
        </w:rPr>
        <w:footnoteReference w:customMarkFollows="1" w:id="22"/>
        <w:t xml:space="preserve">22</w:t>
      </w:r>
      <w:r>
        <w:rPr>
          <w:rFonts w:ascii="arial" w:eastAsia="arial" w:hAnsi="arial" w:cs="arial"/>
          <w:color w:val="000000"/>
          <w:sz w:val="20"/>
          <w:lang w:val="en-US" w:eastAsia="en-US" w:bidi="ar-SA"/>
        </w:rPr>
        <w:t xml:space="preserve"> The Supreme Court and lower court decisions confirmed the availability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where noncitizens challenged only the denial of discretionary relief and not the underlying determination of deportability.</w:t>
      </w:r>
      <w:r>
        <w:rPr>
          <w:rFonts w:ascii="arial" w:eastAsia="arial" w:hAnsi="arial" w:cs="arial"/>
          <w:sz w:val="20"/>
          <w:vertAlign w:val="superscript"/>
          <w:lang w:val="en-US" w:eastAsia="en-US" w:bidi="ar-SA"/>
        </w:rPr>
        <w:footnoteReference w:customMarkFollows="1" w:id="23"/>
        <w:t xml:space="preserve">23</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1961, Congress enacted </w:t>
      </w:r>
      <w:hyperlink r:id="rId21" w:history="1">
        <w:r>
          <w:rPr>
            <w:rFonts w:ascii="arial" w:eastAsia="arial" w:hAnsi="arial" w:cs="arial"/>
            <w:i/>
            <w:color w:val="0077CC"/>
            <w:sz w:val="20"/>
            <w:u w:val="single"/>
            <w:shd w:val="clear" w:color="auto" w:fill="FFFFFF"/>
            <w:lang w:val="en-US" w:eastAsia="en-US" w:bidi="ar-SA"/>
          </w:rPr>
          <w:t>INA § 106</w:t>
        </w:r>
      </w:hyperlink>
      <w:r>
        <w:rPr>
          <w:rFonts w:ascii="arial" w:eastAsia="arial" w:hAnsi="arial" w:cs="arial"/>
          <w:color w:val="000000"/>
          <w:sz w:val="20"/>
          <w:lang w:val="en-US" w:eastAsia="en-US" w:bidi="ar-SA"/>
        </w:rPr>
        <w:t xml:space="preserve"> to attempt to channel judicial review of deportation orders to the courts of appeals via petitions for review. The statute also said, however, that any noncitizen “held in custody pursuant to an order of deportation may obtain judicial review thereof by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 that is, proceedings presumably initiated in the district courts.</w:t>
      </w:r>
      <w:r>
        <w:rPr>
          <w:rFonts w:ascii="arial" w:eastAsia="arial" w:hAnsi="arial" w:cs="arial"/>
          <w:sz w:val="20"/>
          <w:vertAlign w:val="superscript"/>
          <w:lang w:val="en-US" w:eastAsia="en-US" w:bidi="ar-SA"/>
        </w:rPr>
        <w:footnoteReference w:customMarkFollows="1" w:id="24"/>
        <w:t xml:space="preserve">24</w:t>
      </w:r>
      <w:r>
        <w:rPr>
          <w:rFonts w:ascii="arial" w:eastAsia="arial" w:hAnsi="arial" w:cs="arial"/>
          <w:color w:val="000000"/>
          <w:sz w:val="20"/>
          <w:lang w:val="en-US" w:eastAsia="en-US" w:bidi="ar-SA"/>
        </w:rPr>
        <w:t xml:space="preserve"> Congress expressly acknowledged the continuing right of noncitizens to obtain review of final orders in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w:t>
      </w:r>
      <w:r>
        <w:rPr>
          <w:rFonts w:ascii="arial" w:eastAsia="arial" w:hAnsi="arial" w:cs="arial"/>
          <w:sz w:val="20"/>
          <w:vertAlign w:val="superscript"/>
          <w:lang w:val="en-US" w:eastAsia="en-US" w:bidi="ar-SA"/>
        </w:rPr>
        <w:footnoteReference w:customMarkFollows="1" w:id="25"/>
        <w:t xml:space="preserve">25</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many years, the federal courts grappled with the seeming anomaly of channeling review of deportation orders to the courts of appeals while permitting noncitizens “held in custody pursuant to an order of deportation” to obtain judicial review of the order by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Three Supreme Court cases from the 1960s illustrate the court’s attempt to draw the lines.</w:t>
      </w:r>
      <w:r>
        <w:rPr>
          <w:rFonts w:ascii="arial" w:eastAsia="arial" w:hAnsi="arial" w:cs="arial"/>
          <w:sz w:val="20"/>
          <w:vertAlign w:val="superscript"/>
          <w:lang w:val="en-US" w:eastAsia="en-US" w:bidi="ar-SA"/>
        </w:rPr>
        <w:footnoteReference w:customMarkFollows="1" w:id="26"/>
        <w:t xml:space="preserve">26</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Before 1996,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also was used to challenge basic immigration policies. For example, </w:t>
      </w:r>
      <w:r>
        <w:rPr>
          <w:rFonts w:ascii="arial" w:eastAsia="arial" w:hAnsi="arial" w:cs="arial"/>
          <w:i/>
          <w:color w:val="000000"/>
          <w:sz w:val="20"/>
          <w:lang w:val="en-US" w:eastAsia="en-US" w:bidi="ar-SA"/>
        </w:rPr>
        <w:t>Reno v. Flores</w:t>
      </w:r>
      <w:r>
        <w:rPr>
          <w:rFonts w:ascii="arial" w:eastAsia="arial" w:hAnsi="arial" w:cs="arial"/>
          <w:sz w:val="20"/>
          <w:vertAlign w:val="superscript"/>
          <w:lang w:val="en-US" w:eastAsia="en-US" w:bidi="ar-SA"/>
        </w:rPr>
        <w:footnoteReference w:customMarkFollows="1" w:id="27"/>
        <w:t xml:space="preserve">27</w:t>
      </w:r>
      <w:r>
        <w:rPr>
          <w:rFonts w:ascii="arial" w:eastAsia="arial" w:hAnsi="arial" w:cs="arial"/>
          <w:color w:val="000000"/>
          <w:sz w:val="20"/>
          <w:lang w:val="en-US" w:eastAsia="en-US" w:bidi="ar-SA"/>
        </w:rPr>
        <w:t xml:space="preserve"> involved a class action challenging the immigration agency’s policy of detaining minors in pending deportation proceedings. The Ninth Circuit granted a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finding that freedom from detention is a fundamental right that requires strict scrutiny.</w:t>
      </w:r>
      <w:r>
        <w:rPr>
          <w:rFonts w:ascii="arial" w:eastAsia="arial" w:hAnsi="arial" w:cs="arial"/>
          <w:sz w:val="20"/>
          <w:vertAlign w:val="superscript"/>
          <w:lang w:val="en-US" w:eastAsia="en-US" w:bidi="ar-SA"/>
        </w:rPr>
        <w:footnoteReference w:customMarkFollows="1" w:id="28"/>
        <w:t xml:space="preserve">28</w:t>
      </w:r>
      <w:r>
        <w:rPr>
          <w:rFonts w:ascii="arial" w:eastAsia="arial" w:hAnsi="arial" w:cs="arial"/>
          <w:color w:val="000000"/>
          <w:sz w:val="20"/>
          <w:lang w:val="en-US" w:eastAsia="en-US" w:bidi="ar-SA"/>
        </w:rPr>
        <w:t xml:space="preserve"> While the Supreme Court reversed on appeal, the case as a whole demonstrated that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could be an important vehicle for testing immigration policies.</w:t>
      </w:r>
    </w:p>
    <w:p>
      <w:pPr>
        <w:rPr>
          <w:rFonts w:ascii="arial" w:eastAsia="arial" w:hAnsi="arial" w:cs="arial"/>
          <w:sz w:val="20"/>
          <w:lang w:val="en-US" w:eastAsia="en-US" w:bidi="ar-SA"/>
        </w:rPr>
      </w:pPr>
      <w:bookmarkStart w:id="15" w:name="Bookmark_TAACAAEAAC"/>
      <w:bookmarkEnd w:id="15"/>
      <w:bookmarkStart w:id="16" w:name="Bookmark__2_d_ii"/>
      <w:bookmarkEnd w:id="16"/>
    </w:p>
    <w:p>
      <w:pPr>
        <w:numPr>
          <w:numId w:val="10"/>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Historical Importance of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in Exclusion Cases</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might be argued that people barred from entering the United States are not restrained of their liberty, since they presumably are free to go anywhere except into the United States. Nevertheless the Supreme Court long ago held that a noncitizen in custody under an exclusion order could bring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 to challenge its legality.</w:t>
      </w:r>
      <w:r>
        <w:rPr>
          <w:rFonts w:ascii="arial" w:eastAsia="arial" w:hAnsi="arial" w:cs="arial"/>
          <w:sz w:val="20"/>
          <w:vertAlign w:val="superscript"/>
          <w:lang w:val="en-US" w:eastAsia="en-US" w:bidi="ar-SA"/>
        </w:rPr>
        <w:footnoteReference w:customMarkFollows="1" w:id="29"/>
        <w:t xml:space="preserve">29</w:t>
      </w:r>
      <w:r>
        <w:rPr>
          <w:rFonts w:ascii="arial" w:eastAsia="arial" w:hAnsi="arial" w:cs="arial"/>
          <w:color w:val="000000"/>
          <w:sz w:val="20"/>
          <w:lang w:val="en-US" w:eastAsia="en-US" w:bidi="ar-SA"/>
        </w:rPr>
        <w:t xml:space="preserve"> This has been true whether the noncitizen is detained ashore or on board ship.</w:t>
      </w:r>
      <w:r>
        <w:rPr>
          <w:rFonts w:ascii="arial" w:eastAsia="arial" w:hAnsi="arial" w:cs="arial"/>
          <w:sz w:val="20"/>
          <w:vertAlign w:val="superscript"/>
          <w:lang w:val="en-US" w:eastAsia="en-US" w:bidi="ar-SA"/>
        </w:rPr>
        <w:footnoteReference w:customMarkFollows="1" w:id="30"/>
        <w:t xml:space="preserve">30</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Before the IIRAIRA eliminated </w:t>
      </w:r>
      <w:hyperlink r:id="rId21" w:history="1">
        <w:r>
          <w:rPr>
            <w:rFonts w:ascii="arial" w:eastAsia="arial" w:hAnsi="arial" w:cs="arial"/>
            <w:i/>
            <w:color w:val="0077CC"/>
            <w:sz w:val="20"/>
            <w:u w:val="single"/>
            <w:shd w:val="clear" w:color="auto" w:fill="FFFFFF"/>
            <w:lang w:val="en-US" w:eastAsia="en-US" w:bidi="ar-SA"/>
          </w:rPr>
          <w:t>INA § 106</w:t>
        </w:r>
      </w:hyperlink>
      <w:r>
        <w:rPr>
          <w:rFonts w:ascii="arial" w:eastAsia="arial" w:hAnsi="arial" w:cs="arial"/>
          <w:color w:val="000000"/>
          <w:sz w:val="20"/>
          <w:lang w:val="en-US" w:eastAsia="en-US" w:bidi="ar-SA"/>
        </w:rPr>
        <w:t xml:space="preserve">, that section provided that judicial review of a final order of exclusion could be obtained “by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 and not otherwise.”</w:t>
      </w:r>
      <w:r>
        <w:rPr>
          <w:rFonts w:ascii="arial" w:eastAsia="arial" w:hAnsi="arial" w:cs="arial"/>
          <w:sz w:val="20"/>
          <w:vertAlign w:val="superscript"/>
          <w:lang w:val="en-US" w:eastAsia="en-US" w:bidi="ar-SA"/>
        </w:rPr>
        <w:footnoteReference w:customMarkFollows="1" w:id="31"/>
        <w:t xml:space="preserve">31</w:t>
      </w:r>
      <w:r>
        <w:rPr>
          <w:rFonts w:ascii="arial" w:eastAsia="arial" w:hAnsi="arial" w:cs="arial"/>
          <w:color w:val="000000"/>
          <w:sz w:val="20"/>
          <w:lang w:val="en-US" w:eastAsia="en-US" w:bidi="ar-SA"/>
        </w:rPr>
        <w:t xml:space="preserve">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action contesting an exclusion order would be brought in U.S. District Court. In certain cases the district courts also reviewed actions taken before an exclusion hearing, such as a denial by the former Immigration and Naturalization Service (INS) of an asylum claim</w:t>
      </w:r>
      <w:r>
        <w:rPr>
          <w:rFonts w:ascii="arial" w:eastAsia="arial" w:hAnsi="arial" w:cs="arial"/>
          <w:sz w:val="20"/>
          <w:vertAlign w:val="superscript"/>
          <w:lang w:val="en-US" w:eastAsia="en-US" w:bidi="ar-SA"/>
        </w:rPr>
        <w:footnoteReference w:customMarkFollows="1" w:id="32"/>
        <w:t xml:space="preserve">32</w:t>
      </w:r>
      <w:r>
        <w:rPr>
          <w:rFonts w:ascii="arial" w:eastAsia="arial" w:hAnsi="arial" w:cs="arial"/>
          <w:color w:val="000000"/>
          <w:sz w:val="20"/>
          <w:lang w:val="en-US" w:eastAsia="en-US" w:bidi="ar-SA"/>
        </w:rPr>
        <w:t xml:space="preserve"> or the INS’s refusal to release noncitizens in exclusion proceedings from detention.</w:t>
      </w:r>
      <w:r>
        <w:rPr>
          <w:rFonts w:ascii="arial" w:eastAsia="arial" w:hAnsi="arial" w:cs="arial"/>
          <w:sz w:val="20"/>
          <w:vertAlign w:val="superscript"/>
          <w:lang w:val="en-US" w:eastAsia="en-US" w:bidi="ar-SA"/>
        </w:rPr>
        <w:footnoteReference w:customMarkFollows="1" w:id="33"/>
        <w:t xml:space="preserve">33</w:t>
      </w:r>
      <w:r>
        <w:rPr>
          <w:rFonts w:ascii="arial" w:eastAsia="arial" w:hAnsi="arial" w:cs="arial"/>
          <w:color w:val="000000"/>
          <w:sz w:val="20"/>
          <w:lang w:val="en-US" w:eastAsia="en-US" w:bidi="ar-SA"/>
        </w:rPr>
        <w:t xml:space="preserve">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 was appropriate even if the noncitizen remained on parole after a final exclusion order had been entered.</w:t>
      </w:r>
      <w:r>
        <w:rPr>
          <w:rFonts w:ascii="arial" w:eastAsia="arial" w:hAnsi="arial" w:cs="arial"/>
          <w:sz w:val="20"/>
          <w:vertAlign w:val="superscript"/>
          <w:lang w:val="en-US" w:eastAsia="en-US" w:bidi="ar-SA"/>
        </w:rPr>
        <w:footnoteReference w:customMarkFollows="1" w:id="34"/>
        <w:t xml:space="preserve">34</w:t>
      </w:r>
    </w:p>
    <w:p>
      <w:pPr>
        <w:spacing w:before="200" w:line="260" w:lineRule="atLeast"/>
        <w:ind w:left="1080"/>
        <w:jc w:val="both"/>
        <w:rPr>
          <w:rFonts w:ascii="arial" w:eastAsia="arial" w:hAnsi="arial" w:cs="arial"/>
          <w:sz w:val="20"/>
          <w:lang w:val="en-US" w:eastAsia="en-US" w:bidi="ar-SA"/>
        </w:rPr>
      </w:pP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also has been available to a stowaway, to whom limited procedural rights are available.</w:t>
      </w:r>
      <w:r>
        <w:rPr>
          <w:rFonts w:ascii="arial" w:eastAsia="arial" w:hAnsi="arial" w:cs="arial"/>
          <w:sz w:val="20"/>
          <w:vertAlign w:val="superscript"/>
          <w:lang w:val="en-US" w:eastAsia="en-US" w:bidi="ar-SA"/>
        </w:rPr>
        <w:footnoteReference w:customMarkFollows="1" w:id="35"/>
        <w:t xml:space="preserve">35</w:t>
      </w:r>
      <w:r>
        <w:rPr>
          <w:rFonts w:ascii="arial" w:eastAsia="arial" w:hAnsi="arial" w:cs="arial"/>
          <w:color w:val="000000"/>
          <w:sz w:val="20"/>
          <w:lang w:val="en-US" w:eastAsia="en-US" w:bidi="ar-SA"/>
        </w:rPr>
        <w:t xml:space="preserve"> Such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apparently does not enlarge the restricted procedures prescribed for stowaways, but enables the individual contesting his or her exclusion to challenge the government’s finding that he or she is a stowaway, and hence a noncitizen to whom the statute applies.</w:t>
      </w:r>
      <w:r>
        <w:rPr>
          <w:rFonts w:ascii="arial" w:eastAsia="arial" w:hAnsi="arial" w:cs="arial"/>
          <w:sz w:val="20"/>
          <w:vertAlign w:val="superscript"/>
          <w:lang w:val="en-US" w:eastAsia="en-US" w:bidi="ar-SA"/>
        </w:rPr>
        <w:footnoteReference w:customMarkFollows="1" w:id="36"/>
        <w:t xml:space="preserve">36</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INA did not explicitly require that a noncitizen in exclusion proceedings be in custody to bring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action, but most courts assumed such a requirement, probably because as a factual matter most noncitizens ordered excluded were in custody.</w:t>
      </w:r>
      <w:r>
        <w:rPr>
          <w:rFonts w:ascii="arial" w:eastAsia="arial" w:hAnsi="arial" w:cs="arial"/>
          <w:sz w:val="20"/>
          <w:vertAlign w:val="superscript"/>
          <w:lang w:val="en-US" w:eastAsia="en-US" w:bidi="ar-SA"/>
        </w:rPr>
        <w:footnoteReference w:customMarkFollows="1" w:id="37"/>
        <w:t xml:space="preserve">37</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the IIRAIRA repealed former </w:t>
      </w:r>
      <w:hyperlink r:id="rId21" w:history="1">
        <w:r>
          <w:rPr>
            <w:rFonts w:ascii="arial" w:eastAsia="arial" w:hAnsi="arial" w:cs="arial"/>
            <w:i/>
            <w:color w:val="0077CC"/>
            <w:sz w:val="20"/>
            <w:u w:val="single"/>
            <w:shd w:val="clear" w:color="auto" w:fill="FFFFFF"/>
            <w:lang w:val="en-US" w:eastAsia="en-US" w:bidi="ar-SA"/>
          </w:rPr>
          <w:t>INA § 106(b)</w:t>
        </w:r>
      </w:hyperlink>
      <w:r>
        <w:rPr>
          <w:rFonts w:ascii="arial" w:eastAsia="arial" w:hAnsi="arial" w:cs="arial"/>
          <w:color w:val="000000"/>
          <w:sz w:val="20"/>
          <w:lang w:val="en-US" w:eastAsia="en-US" w:bidi="ar-SA"/>
        </w:rPr>
        <w:t xml:space="preserve"> in 1996, there was no separate provision addressing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 in exclusion cases. But the IIRAIRA eliminated the statutory distinction between exclusion and deportation cases, treating them both as removal proceedings. Between 1996 and 2005, there was no distinction between “deportation” and “exclusion”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of removal matters.</w:t>
      </w:r>
      <w:r>
        <w:rPr>
          <w:rFonts w:ascii="arial" w:eastAsia="arial" w:hAnsi="arial" w:cs="arial"/>
          <w:sz w:val="20"/>
          <w:vertAlign w:val="superscript"/>
          <w:lang w:val="en-US" w:eastAsia="en-US" w:bidi="ar-SA"/>
        </w:rPr>
        <w:footnoteReference w:customMarkFollows="1" w:id="38"/>
        <w:t xml:space="preserve">38</w:t>
      </w:r>
      <w:r>
        <w:rPr>
          <w:rFonts w:ascii="arial" w:eastAsia="arial" w:hAnsi="arial" w:cs="arial"/>
          <w:color w:val="000000"/>
          <w:sz w:val="20"/>
          <w:lang w:val="en-US" w:eastAsia="en-US" w:bidi="ar-SA"/>
        </w:rPr>
        <w:t xml:space="preserve"> In 2005, the REAL ID Act eliminated statutory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for all final orders of removal.</w:t>
      </w:r>
      <w:r>
        <w:rPr>
          <w:rFonts w:ascii="arial" w:eastAsia="arial" w:hAnsi="arial" w:cs="arial"/>
          <w:sz w:val="20"/>
          <w:vertAlign w:val="superscript"/>
          <w:lang w:val="en-US" w:eastAsia="en-US" w:bidi="ar-SA"/>
        </w:rPr>
        <w:footnoteReference w:customMarkFollows="1" w:id="39"/>
        <w:t xml:space="preserve">39</w:t>
      </w:r>
    </w:p>
    <w:p>
      <w:pPr>
        <w:rPr>
          <w:rFonts w:ascii="arial" w:eastAsia="arial" w:hAnsi="arial" w:cs="arial"/>
          <w:sz w:val="20"/>
          <w:lang w:val="en-US" w:eastAsia="en-US" w:bidi="ar-SA"/>
        </w:rPr>
      </w:pPr>
      <w:bookmarkStart w:id="17" w:name="Bookmark_TAACAAF"/>
      <w:bookmarkEnd w:id="17"/>
      <w:bookmarkStart w:id="18" w:name="Bookmark__2_e"/>
      <w:bookmarkEnd w:id="18"/>
    </w:p>
    <w:p>
      <w:pPr>
        <w:numPr>
          <w:numId w:val="11"/>
        </w:numPr>
        <w:spacing w:before="120" w:line="260" w:lineRule="atLeast"/>
        <w:jc w:val="both"/>
        <w:rPr>
          <w:rFonts w:ascii="arial" w:eastAsia="arial" w:hAnsi="arial" w:cs="arial"/>
          <w:sz w:val="20"/>
          <w:lang w:val="en-US" w:eastAsia="en-US" w:bidi="ar-SA"/>
        </w:rPr>
      </w:pP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in Immigration Law After 1996</w:t>
      </w:r>
    </w:p>
    <w:p>
      <w:pPr>
        <w:rPr>
          <w:rFonts w:ascii="arial" w:eastAsia="arial" w:hAnsi="arial" w:cs="arial"/>
          <w:sz w:val="20"/>
          <w:lang w:val="en-US" w:eastAsia="en-US" w:bidi="ar-SA"/>
        </w:rPr>
      </w:pPr>
      <w:bookmarkStart w:id="19" w:name="Bookmark_TAACAAFAAB"/>
      <w:bookmarkEnd w:id="19"/>
      <w:bookmarkStart w:id="20" w:name="Bookmark__2_e_i"/>
      <w:bookmarkEnd w:id="20"/>
    </w:p>
    <w:p>
      <w:pPr>
        <w:numPr>
          <w:numId w:val="12"/>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Overview</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has amended the judicial review provisions of the INA pertaining to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three times since 1996. The first time was in the AEDPA in April 1996.</w:t>
      </w:r>
      <w:r>
        <w:rPr>
          <w:rFonts w:ascii="arial" w:eastAsia="arial" w:hAnsi="arial" w:cs="arial"/>
          <w:sz w:val="20"/>
          <w:vertAlign w:val="superscript"/>
          <w:lang w:val="en-US" w:eastAsia="en-US" w:bidi="ar-SA"/>
        </w:rPr>
        <w:footnoteReference w:customMarkFollows="1" w:id="40"/>
        <w:t xml:space="preserve">40</w:t>
      </w:r>
      <w:r>
        <w:rPr>
          <w:rFonts w:ascii="arial" w:eastAsia="arial" w:hAnsi="arial" w:cs="arial"/>
          <w:color w:val="000000"/>
          <w:sz w:val="20"/>
          <w:lang w:val="en-US" w:eastAsia="en-US" w:bidi="ar-SA"/>
        </w:rPr>
        <w:t xml:space="preserve"> The second time was in the IIRAIRA in September 1996.</w:t>
      </w:r>
      <w:r>
        <w:rPr>
          <w:rFonts w:ascii="arial" w:eastAsia="arial" w:hAnsi="arial" w:cs="arial"/>
          <w:sz w:val="20"/>
          <w:vertAlign w:val="superscript"/>
          <w:lang w:val="en-US" w:eastAsia="en-US" w:bidi="ar-SA"/>
        </w:rPr>
        <w:footnoteReference w:customMarkFollows="1" w:id="41"/>
        <w:t xml:space="preserve">41</w:t>
      </w:r>
      <w:r>
        <w:rPr>
          <w:rFonts w:ascii="arial" w:eastAsia="arial" w:hAnsi="arial" w:cs="arial"/>
          <w:color w:val="000000"/>
          <w:sz w:val="20"/>
          <w:lang w:val="en-US" w:eastAsia="en-US" w:bidi="ar-SA"/>
        </w:rPr>
        <w:t xml:space="preserve"> In 2005, Congress again amended the judicial review provisions of the INA, via the REAL ID Act.</w:t>
      </w:r>
      <w:r>
        <w:rPr>
          <w:rFonts w:ascii="arial" w:eastAsia="arial" w:hAnsi="arial" w:cs="arial"/>
          <w:sz w:val="20"/>
          <w:vertAlign w:val="superscript"/>
          <w:lang w:val="en-US" w:eastAsia="en-US" w:bidi="ar-SA"/>
        </w:rPr>
        <w:footnoteReference w:customMarkFollows="1" w:id="42"/>
        <w:t xml:space="preserve">42</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AEDPA not only repealed § 106(a)(10);</w:t>
      </w:r>
      <w:r>
        <w:rPr>
          <w:rFonts w:ascii="arial" w:eastAsia="arial" w:hAnsi="arial" w:cs="arial"/>
          <w:sz w:val="20"/>
          <w:vertAlign w:val="superscript"/>
          <w:lang w:val="en-US" w:eastAsia="en-US" w:bidi="ar-SA"/>
        </w:rPr>
        <w:footnoteReference w:customMarkFollows="1" w:id="43"/>
        <w:t xml:space="preserve">43</w:t>
      </w:r>
      <w:r>
        <w:rPr>
          <w:rFonts w:ascii="arial" w:eastAsia="arial" w:hAnsi="arial" w:cs="arial"/>
          <w:color w:val="000000"/>
          <w:sz w:val="20"/>
          <w:lang w:val="en-US" w:eastAsia="en-US" w:bidi="ar-SA"/>
        </w:rPr>
        <w:t xml:space="preserve"> it also severely restricted judicial review of “any final order of deportation against an alien who is deportable by reason of [certain enumerated criminal grounds].”</w:t>
      </w:r>
      <w:r>
        <w:rPr>
          <w:rFonts w:ascii="arial" w:eastAsia="arial" w:hAnsi="arial" w:cs="arial"/>
          <w:sz w:val="20"/>
          <w:vertAlign w:val="superscript"/>
          <w:lang w:val="en-US" w:eastAsia="en-US" w:bidi="ar-SA"/>
        </w:rPr>
        <w:footnoteReference w:customMarkFollows="1" w:id="44"/>
        <w:t xml:space="preserve">44</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entire </w:t>
      </w:r>
      <w:hyperlink r:id="rId21" w:history="1">
        <w:r>
          <w:rPr>
            <w:rFonts w:ascii="arial" w:eastAsia="arial" w:hAnsi="arial" w:cs="arial"/>
            <w:i/>
            <w:color w:val="0077CC"/>
            <w:sz w:val="20"/>
            <w:u w:val="single"/>
            <w:shd w:val="clear" w:color="auto" w:fill="FFFFFF"/>
            <w:lang w:val="en-US" w:eastAsia="en-US" w:bidi="ar-SA"/>
          </w:rPr>
          <w:t>INA § 106</w:t>
        </w:r>
      </w:hyperlink>
      <w:r>
        <w:rPr>
          <w:rFonts w:ascii="arial" w:eastAsia="arial" w:hAnsi="arial" w:cs="arial"/>
          <w:color w:val="000000"/>
          <w:sz w:val="20"/>
          <w:lang w:val="en-US" w:eastAsia="en-US" w:bidi="ar-SA"/>
        </w:rPr>
        <w:t xml:space="preserve"> was repealed five months later by the IIRAIRA; former </w:t>
      </w:r>
      <w:hyperlink r:id="rId21" w:history="1">
        <w:r>
          <w:rPr>
            <w:rFonts w:ascii="arial" w:eastAsia="arial" w:hAnsi="arial" w:cs="arial"/>
            <w:i/>
            <w:color w:val="0077CC"/>
            <w:sz w:val="20"/>
            <w:u w:val="single"/>
            <w:shd w:val="clear" w:color="auto" w:fill="FFFFFF"/>
            <w:lang w:val="en-US" w:eastAsia="en-US" w:bidi="ar-SA"/>
          </w:rPr>
          <w:t>INA § 106</w:t>
        </w:r>
      </w:hyperlink>
      <w:r>
        <w:rPr>
          <w:rFonts w:ascii="arial" w:eastAsia="arial" w:hAnsi="arial" w:cs="arial"/>
          <w:color w:val="000000"/>
          <w:sz w:val="20"/>
          <w:lang w:val="en-US" w:eastAsia="en-US" w:bidi="ar-SA"/>
        </w:rPr>
        <w:t xml:space="preserve"> was replaced by new </w:t>
      </w:r>
      <w:hyperlink r:id="rId22" w:history="1">
        <w:r>
          <w:rPr>
            <w:rFonts w:ascii="arial" w:eastAsia="arial" w:hAnsi="arial" w:cs="arial"/>
            <w:i/>
            <w:color w:val="0077CC"/>
            <w:sz w:val="20"/>
            <w:u w:val="single"/>
            <w:shd w:val="clear" w:color="auto" w:fill="FFFFFF"/>
            <w:lang w:val="en-US" w:eastAsia="en-US" w:bidi="ar-SA"/>
          </w:rPr>
          <w:t>INA § 242</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45"/>
        <w:t xml:space="preserve">45</w:t>
      </w:r>
      <w:r>
        <w:rPr>
          <w:rFonts w:ascii="arial" w:eastAsia="arial" w:hAnsi="arial" w:cs="arial"/>
          <w:color w:val="000000"/>
          <w:sz w:val="20"/>
          <w:lang w:val="en-US" w:eastAsia="en-US" w:bidi="ar-SA"/>
        </w:rPr>
        <w:t xml:space="preserve"> Most of the new </w:t>
      </w:r>
      <w:hyperlink r:id="rId22" w:history="1">
        <w:r>
          <w:rPr>
            <w:rFonts w:ascii="arial" w:eastAsia="arial" w:hAnsi="arial" w:cs="arial"/>
            <w:i/>
            <w:color w:val="0077CC"/>
            <w:sz w:val="20"/>
            <w:u w:val="single"/>
            <w:shd w:val="clear" w:color="auto" w:fill="FFFFFF"/>
            <w:lang w:val="en-US" w:eastAsia="en-US" w:bidi="ar-SA"/>
          </w:rPr>
          <w:t>INA § 242</w:t>
        </w:r>
      </w:hyperlink>
      <w:r>
        <w:rPr>
          <w:rFonts w:ascii="arial" w:eastAsia="arial" w:hAnsi="arial" w:cs="arial"/>
          <w:color w:val="000000"/>
          <w:sz w:val="20"/>
          <w:lang w:val="en-US" w:eastAsia="en-US" w:bidi="ar-SA"/>
        </w:rPr>
        <w:t xml:space="preserve"> did not take effect and did not apply to deportation cases pending when the IIRAIRA was enacted. New </w:t>
      </w:r>
      <w:hyperlink r:id="rId22" w:history="1">
        <w:r>
          <w:rPr>
            <w:rFonts w:ascii="arial" w:eastAsia="arial" w:hAnsi="arial" w:cs="arial"/>
            <w:i/>
            <w:color w:val="0077CC"/>
            <w:sz w:val="20"/>
            <w:u w:val="single"/>
            <w:shd w:val="clear" w:color="auto" w:fill="FFFFFF"/>
            <w:lang w:val="en-US" w:eastAsia="en-US" w:bidi="ar-SA"/>
          </w:rPr>
          <w:t>INA § 242(g)</w:t>
        </w:r>
      </w:hyperlink>
      <w:r>
        <w:rPr>
          <w:rFonts w:ascii="arial" w:eastAsia="arial" w:hAnsi="arial" w:cs="arial"/>
          <w:color w:val="000000"/>
          <w:sz w:val="20"/>
          <w:lang w:val="en-US" w:eastAsia="en-US" w:bidi="ar-SA"/>
        </w:rPr>
        <w:t>, which limited judicial review of certain immigration actions, however, was expressly made to apply to “past, pending or future exclusion, deportation, or removal proceedings under such Act.”</w:t>
      </w:r>
      <w:r>
        <w:rPr>
          <w:rFonts w:ascii="arial" w:eastAsia="arial" w:hAnsi="arial" w:cs="arial"/>
          <w:sz w:val="20"/>
          <w:vertAlign w:val="superscript"/>
          <w:lang w:val="en-US" w:eastAsia="en-US" w:bidi="ar-SA"/>
        </w:rPr>
        <w:footnoteReference w:customMarkFollows="1" w:id="46"/>
        <w:t xml:space="preserve">46</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With passage of the REAL ID Act in 2005, Congress enacted several further changes to </w:t>
      </w:r>
      <w:hyperlink r:id="rId22" w:history="1">
        <w:r>
          <w:rPr>
            <w:rFonts w:ascii="arial" w:eastAsia="arial" w:hAnsi="arial" w:cs="arial"/>
            <w:i/>
            <w:color w:val="0077CC"/>
            <w:sz w:val="20"/>
            <w:u w:val="single"/>
            <w:shd w:val="clear" w:color="auto" w:fill="FFFFFF"/>
            <w:lang w:val="en-US" w:eastAsia="en-US" w:bidi="ar-SA"/>
          </w:rPr>
          <w:t>INA § 242</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47"/>
        <w:t xml:space="preserve">47</w:t>
      </w:r>
      <w:r>
        <w:rPr>
          <w:rFonts w:ascii="arial" w:eastAsia="arial" w:hAnsi="arial" w:cs="arial"/>
          <w:color w:val="000000"/>
          <w:sz w:val="20"/>
          <w:lang w:val="en-US" w:eastAsia="en-US" w:bidi="ar-SA"/>
        </w:rPr>
        <w:t xml:space="preserve"> Specifically, § 106 of the REAL ID Act amended five pieces of </w:t>
      </w:r>
      <w:hyperlink r:id="rId22" w:history="1">
        <w:r>
          <w:rPr>
            <w:rFonts w:ascii="arial" w:eastAsia="arial" w:hAnsi="arial" w:cs="arial"/>
            <w:i/>
            <w:color w:val="0077CC"/>
            <w:sz w:val="20"/>
            <w:u w:val="single"/>
            <w:shd w:val="clear" w:color="auto" w:fill="FFFFFF"/>
            <w:lang w:val="en-US" w:eastAsia="en-US" w:bidi="ar-SA"/>
          </w:rPr>
          <w:t>INA § 242</w:t>
        </w:r>
      </w:hyperlink>
      <w:r>
        <w:rPr>
          <w:rFonts w:ascii="arial" w:eastAsia="arial" w:hAnsi="arial" w:cs="arial"/>
          <w:color w:val="000000"/>
          <w:sz w:val="20"/>
          <w:lang w:val="en-US" w:eastAsia="en-US" w:bidi="ar-SA"/>
        </w:rPr>
        <w:t xml:space="preserve">—§ 242(a)(2)(A), (B), and (C), (b)(9), and (g)—and added two new paragraphs—(a)(4) and (a)(5)—to restrict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Perhaps to obviate constitutional challenges to these provisions, § 106(a)(1)(A)(iii) of the REAL ID Act also added </w:t>
      </w:r>
      <w:hyperlink r:id="rId22" w:history="1">
        <w:r>
          <w:rPr>
            <w:rFonts w:ascii="arial" w:eastAsia="arial" w:hAnsi="arial" w:cs="arial"/>
            <w:i/>
            <w:color w:val="0077CC"/>
            <w:sz w:val="20"/>
            <w:u w:val="single"/>
            <w:shd w:val="clear" w:color="auto" w:fill="FFFFFF"/>
            <w:lang w:val="en-US" w:eastAsia="en-US" w:bidi="ar-SA"/>
          </w:rPr>
          <w:t>INA § 242(a)(2)(D)</w:t>
        </w:r>
      </w:hyperlink>
      <w:r>
        <w:rPr>
          <w:rFonts w:ascii="arial" w:eastAsia="arial" w:hAnsi="arial" w:cs="arial"/>
          <w:color w:val="000000"/>
          <w:sz w:val="20"/>
          <w:lang w:val="en-US" w:eastAsia="en-US" w:bidi="ar-SA"/>
        </w:rPr>
        <w:t>, which expands the jurisdiction of the courts of appeals so that they may address issues previously precluded by the IIRAIRA.</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Finally, as a housekeeping matter, § 106(c) of the REAL ID Act provided rules for transferring to appellate courts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cases that were pending before district courts at the time the REAL ID Act became law.</w:t>
      </w:r>
    </w:p>
    <w:p>
      <w:pPr>
        <w:rPr>
          <w:rFonts w:ascii="arial" w:eastAsia="arial" w:hAnsi="arial" w:cs="arial"/>
          <w:sz w:val="20"/>
          <w:lang w:val="en-US" w:eastAsia="en-US" w:bidi="ar-SA"/>
        </w:rPr>
      </w:pPr>
      <w:bookmarkStart w:id="21" w:name="Bookmark_TAACAAFAAC"/>
      <w:bookmarkEnd w:id="21"/>
      <w:bookmarkStart w:id="22" w:name="Bookmark__2_e_ii"/>
      <w:bookmarkEnd w:id="22"/>
    </w:p>
    <w:p>
      <w:pPr>
        <w:numPr>
          <w:numId w:val="13"/>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Restrictions as the Result of AEDPA and IIRAIRA</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AEDPA</w:t>
      </w:r>
      <w:r>
        <w:rPr>
          <w:rFonts w:ascii="arial" w:eastAsia="arial" w:hAnsi="arial" w:cs="arial"/>
          <w:sz w:val="20"/>
          <w:vertAlign w:val="superscript"/>
          <w:lang w:val="en-US" w:eastAsia="en-US" w:bidi="ar-SA"/>
        </w:rPr>
        <w:footnoteReference w:customMarkFollows="1" w:id="48"/>
        <w:t xml:space="preserve">48</w:t>
      </w:r>
      <w:r>
        <w:rPr>
          <w:rFonts w:ascii="arial" w:eastAsia="arial" w:hAnsi="arial" w:cs="arial"/>
          <w:color w:val="000000"/>
          <w:sz w:val="20"/>
          <w:lang w:val="en-US" w:eastAsia="en-US" w:bidi="ar-SA"/>
        </w:rPr>
        <w:t xml:space="preserve"> repealed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 xml:space="preserve">, which had provided federal courts with jurisdiction to review immigration matters in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w:t>
      </w:r>
      <w:r>
        <w:rPr>
          <w:rFonts w:ascii="arial" w:eastAsia="arial" w:hAnsi="arial" w:cs="arial"/>
          <w:sz w:val="20"/>
          <w:vertAlign w:val="superscript"/>
          <w:lang w:val="en-US" w:eastAsia="en-US" w:bidi="ar-SA"/>
        </w:rPr>
        <w:footnoteReference w:customMarkFollows="1" w:id="49"/>
        <w:t xml:space="preserve">49</w:t>
      </w:r>
      <w:r>
        <w:rPr>
          <w:rFonts w:ascii="arial" w:eastAsia="arial" w:hAnsi="arial" w:cs="arial"/>
          <w:color w:val="000000"/>
          <w:sz w:val="20"/>
          <w:lang w:val="en-US" w:eastAsia="en-US" w:bidi="ar-SA"/>
        </w:rPr>
        <w:t xml:space="preserve"> Additional changes to the INA made by the AEDPA and the IIRAIRA attempted to bar judicial review altogether for several classes of noncitizens and several categories of immigration decisions.</w:t>
      </w:r>
      <w:r>
        <w:rPr>
          <w:rFonts w:ascii="arial" w:eastAsia="arial" w:hAnsi="arial" w:cs="arial"/>
          <w:sz w:val="20"/>
          <w:vertAlign w:val="superscript"/>
          <w:lang w:val="en-US" w:eastAsia="en-US" w:bidi="ar-SA"/>
        </w:rPr>
        <w:footnoteReference w:customMarkFollows="1" w:id="50"/>
        <w:t xml:space="preserve">50</w:t>
      </w:r>
      <w:r>
        <w:rPr>
          <w:rFonts w:ascii="arial" w:eastAsia="arial" w:hAnsi="arial" w:cs="arial"/>
          <w:color w:val="000000"/>
          <w:sz w:val="20"/>
          <w:lang w:val="en-US" w:eastAsia="en-US" w:bidi="ar-SA"/>
        </w:rPr>
        <w:t xml:space="preserve"> These statutes also attempted to channel and consolidate any remaining claims in petitions for review in the federal courts of appeals.</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IIRAIRA also added § 242(g) to the INA, which on its face completely bars judicial review of any claim “arising from the decision or action by the Attorney General to commence proceedings, adjudicate cases, or execute removal orders.”</w:t>
      </w:r>
      <w:r>
        <w:rPr>
          <w:rFonts w:ascii="arial" w:eastAsia="arial" w:hAnsi="arial" w:cs="arial"/>
          <w:sz w:val="20"/>
          <w:vertAlign w:val="superscript"/>
          <w:lang w:val="en-US" w:eastAsia="en-US" w:bidi="ar-SA"/>
        </w:rPr>
        <w:footnoteReference w:customMarkFollows="1" w:id="51"/>
        <w:t xml:space="preserve">51</w:t>
      </w:r>
      <w:r>
        <w:rPr>
          <w:rFonts w:ascii="arial" w:eastAsia="arial" w:hAnsi="arial" w:cs="arial"/>
          <w:color w:val="000000"/>
          <w:sz w:val="20"/>
          <w:lang w:val="en-US" w:eastAsia="en-US" w:bidi="ar-SA"/>
        </w:rPr>
        <w:t xml:space="preserve"> The Supreme Court held in </w:t>
      </w:r>
      <w:r>
        <w:rPr>
          <w:rFonts w:ascii="arial" w:eastAsia="arial" w:hAnsi="arial" w:cs="arial"/>
          <w:i/>
          <w:color w:val="000000"/>
          <w:sz w:val="20"/>
          <w:lang w:val="en-US" w:eastAsia="en-US" w:bidi="ar-SA"/>
        </w:rPr>
        <w:t>Reno v. American-Arab Anti-Discrimination Committee (AADC)</w:t>
      </w:r>
      <w:r>
        <w:rPr>
          <w:rFonts w:ascii="arial" w:eastAsia="arial" w:hAnsi="arial" w:cs="arial"/>
          <w:color w:val="000000"/>
          <w:sz w:val="20"/>
          <w:lang w:val="en-US" w:eastAsia="en-US" w:bidi="ar-SA"/>
        </w:rPr>
        <w:t xml:space="preserve"> that § 242(g) is not a broad bar to all judicial review and must be read narrowly to apply to the enumerated actions of the agency.</w:t>
      </w:r>
      <w:r>
        <w:rPr>
          <w:rFonts w:ascii="arial" w:eastAsia="arial" w:hAnsi="arial" w:cs="arial"/>
          <w:sz w:val="20"/>
          <w:vertAlign w:val="superscript"/>
          <w:lang w:val="en-US" w:eastAsia="en-US" w:bidi="ar-SA"/>
        </w:rPr>
        <w:footnoteReference w:customMarkFollows="1" w:id="52"/>
        <w:t xml:space="preserve">52</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courts wrestled with several complicated questions of jurisdiction and retroactive reach as the result of these changes to the statute, including whether the repeal of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 xml:space="preserve"> and its replacement by new provisions governing judicial review implicitly voided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authority contained at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AADC</w:t>
      </w:r>
      <w:r>
        <w:rPr>
          <w:rFonts w:ascii="arial" w:eastAsia="arial" w:hAnsi="arial" w:cs="arial"/>
          <w:color w:val="000000"/>
          <w:sz w:val="20"/>
          <w:lang w:val="en-US" w:eastAsia="en-US" w:bidi="ar-SA"/>
        </w:rPr>
        <w:t xml:space="preserve"> the Supreme Court did not decide whether statutory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survived </w:t>
      </w:r>
      <w:hyperlink r:id="rId22" w:history="1">
        <w:r>
          <w:rPr>
            <w:rFonts w:ascii="arial" w:eastAsia="arial" w:hAnsi="arial" w:cs="arial"/>
            <w:i/>
            <w:color w:val="0077CC"/>
            <w:sz w:val="20"/>
            <w:u w:val="single"/>
            <w:shd w:val="clear" w:color="auto" w:fill="FFFFFF"/>
            <w:lang w:val="en-US" w:eastAsia="en-US" w:bidi="ar-SA"/>
          </w:rPr>
          <w:t>INA § 242(g)</w:t>
        </w:r>
      </w:hyperlink>
      <w:r>
        <w:rPr>
          <w:rFonts w:ascii="arial" w:eastAsia="arial" w:hAnsi="arial" w:cs="arial"/>
          <w:color w:val="000000"/>
          <w:sz w:val="20"/>
          <w:lang w:val="en-US" w:eastAsia="en-US" w:bidi="ar-SA"/>
        </w:rPr>
        <w:t xml:space="preserve">. However, in two important cases in 2001, </w:t>
      </w:r>
      <w:r>
        <w:rPr>
          <w:rFonts w:ascii="arial" w:eastAsia="arial" w:hAnsi="arial" w:cs="arial"/>
          <w:i/>
          <w:color w:val="000000"/>
          <w:sz w:val="20"/>
          <w:lang w:val="en-US" w:eastAsia="en-US" w:bidi="ar-SA"/>
        </w:rPr>
        <w:t>INS v. St. Cyr</w:t>
      </w:r>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Calcano-Martinez v. INS</w:t>
      </w:r>
      <w:r>
        <w:rPr>
          <w:rFonts w:ascii="arial" w:eastAsia="arial" w:hAnsi="arial" w:cs="arial"/>
          <w:color w:val="000000"/>
          <w:sz w:val="20"/>
          <w:lang w:val="en-US" w:eastAsia="en-US" w:bidi="ar-SA"/>
        </w:rPr>
        <w:t xml:space="preserve">, the Supreme Court decided that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authority granted by </w:t>
      </w:r>
      <w:hyperlink r:id="rId20"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survived the 1996 legislation.</w:t>
      </w:r>
      <w:r>
        <w:rPr>
          <w:rFonts w:ascii="arial" w:eastAsia="arial" w:hAnsi="arial" w:cs="arial"/>
          <w:sz w:val="20"/>
          <w:vertAlign w:val="superscript"/>
          <w:lang w:val="en-US" w:eastAsia="en-US" w:bidi="ar-SA"/>
        </w:rPr>
        <w:footnoteReference w:customMarkFollows="1" w:id="53"/>
        <w:t xml:space="preserve">53</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 held in </w:t>
      </w:r>
      <w:r>
        <w:rPr>
          <w:rFonts w:ascii="arial" w:eastAsia="arial" w:hAnsi="arial" w:cs="arial"/>
          <w:i/>
          <w:color w:val="000000"/>
          <w:sz w:val="20"/>
          <w:lang w:val="en-US" w:eastAsia="en-US" w:bidi="ar-SA"/>
        </w:rPr>
        <w:t>St. Cyr</w:t>
      </w:r>
      <w:r>
        <w:rPr>
          <w:rFonts w:ascii="arial" w:eastAsia="arial" w:hAnsi="arial" w:cs="arial"/>
          <w:color w:val="000000"/>
          <w:sz w:val="20"/>
          <w:lang w:val="en-US" w:eastAsia="en-US" w:bidi="ar-SA"/>
        </w:rPr>
        <w:t xml:space="preserve"> that the 1996 statutes were not clearly intended to repeal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jurisdiction set forth in </w:t>
      </w:r>
      <w:hyperlink r:id="rId20"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The INS relied in part on AEDPA § 401(e), “Elimination of Custody Review by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However, despite the title of the section, the actual text of the statute contains no repeal, indeed not even a mention, of </w:t>
      </w:r>
      <w:hyperlink r:id="rId20"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The statute did repeal </w:t>
      </w:r>
      <w:hyperlink r:id="rId21" w:history="1">
        <w:r>
          <w:rPr>
            <w:rFonts w:ascii="arial" w:eastAsia="arial" w:hAnsi="arial" w:cs="arial"/>
            <w:i/>
            <w:color w:val="0077CC"/>
            <w:sz w:val="20"/>
            <w:u w:val="single"/>
            <w:shd w:val="clear" w:color="auto" w:fill="FFFFFF"/>
            <w:lang w:val="en-US" w:eastAsia="en-US" w:bidi="ar-SA"/>
          </w:rPr>
          <w:t>INA § 106</w:t>
        </w:r>
      </w:hyperlink>
      <w:r>
        <w:rPr>
          <w:rFonts w:ascii="arial" w:eastAsia="arial" w:hAnsi="arial" w:cs="arial"/>
          <w:color w:val="000000"/>
          <w:sz w:val="20"/>
          <w:lang w:val="en-US" w:eastAsia="en-US" w:bidi="ar-SA"/>
        </w:rPr>
        <w:t xml:space="preserve">, which specifically granted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rights. As the Court emphasized, the guarantees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rights set forth in the INA functioned merely as an affirmation of, rather than a substitute for,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rights granted in </w:t>
      </w:r>
      <w:hyperlink r:id="rId20"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54"/>
        <w:t xml:space="preserve">54</w:t>
      </w:r>
      <w:r>
        <w:rPr>
          <w:rFonts w:ascii="arial" w:eastAsia="arial" w:hAnsi="arial" w:cs="arial"/>
          <w:color w:val="000000"/>
          <w:sz w:val="20"/>
          <w:lang w:val="en-US" w:eastAsia="en-US" w:bidi="ar-SA"/>
        </w:rPr>
        <w:t xml:space="preserve"> The Court concluded that the AEDPA’s repeal of former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 xml:space="preserve"> “cannot be sufficient to eliminate what it did not originally grant—namely,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 pursuant to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55"/>
        <w:t xml:space="preserve">55</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Subsequent lower court rulings made clear that </w:t>
      </w:r>
      <w:r>
        <w:rPr>
          <w:rFonts w:ascii="arial" w:eastAsia="arial" w:hAnsi="arial" w:cs="arial"/>
          <w:i/>
          <w:color w:val="000000"/>
          <w:sz w:val="20"/>
          <w:lang w:val="en-US" w:eastAsia="en-US" w:bidi="ar-SA"/>
        </w:rPr>
        <w:t>St. Cyr</w:t>
      </w:r>
      <w:r>
        <w:rPr>
          <w:rFonts w:ascii="arial" w:eastAsia="arial" w:hAnsi="arial" w:cs="arial"/>
          <w:color w:val="000000"/>
          <w:sz w:val="20"/>
          <w:lang w:val="en-US" w:eastAsia="en-US" w:bidi="ar-SA"/>
        </w:rPr>
        <w:t xml:space="preserve"> should be interpreted broadly, granting the courts § 2241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 over petitions from criminal and noncriminal petitioners alike.</w:t>
      </w:r>
      <w:r>
        <w:rPr>
          <w:rFonts w:ascii="arial" w:eastAsia="arial" w:hAnsi="arial" w:cs="arial"/>
          <w:sz w:val="20"/>
          <w:vertAlign w:val="superscript"/>
          <w:lang w:val="en-US" w:eastAsia="en-US" w:bidi="ar-SA"/>
        </w:rPr>
        <w:footnoteReference w:customMarkFollows="1" w:id="56"/>
        <w:t xml:space="preserve">56</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REAL ID Act of 2005, however, drastically reduced the scope of the courts’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w:t>
      </w:r>
      <w:r>
        <w:rPr>
          <w:rFonts w:ascii="arial" w:eastAsia="arial" w:hAnsi="arial" w:cs="arial"/>
          <w:sz w:val="20"/>
          <w:vertAlign w:val="superscript"/>
          <w:lang w:val="en-US" w:eastAsia="en-US" w:bidi="ar-SA"/>
        </w:rPr>
        <w:footnoteReference w:customMarkFollows="1" w:id="57"/>
        <w:t xml:space="preserve">57</w:t>
      </w:r>
    </w:p>
    <w:p>
      <w:pPr>
        <w:rPr>
          <w:rFonts w:ascii="arial" w:eastAsia="arial" w:hAnsi="arial" w:cs="arial"/>
          <w:sz w:val="20"/>
          <w:lang w:val="en-US" w:eastAsia="en-US" w:bidi="ar-SA"/>
        </w:rPr>
      </w:pPr>
      <w:bookmarkStart w:id="23" w:name="Bookmark_TAACAAFAAD"/>
      <w:bookmarkEnd w:id="23"/>
      <w:bookmarkStart w:id="24" w:name="Bookmark__2_e_iii"/>
      <w:bookmarkEnd w:id="24"/>
    </w:p>
    <w:p>
      <w:pPr>
        <w:numPr>
          <w:numId w:val="14"/>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Statutory Changes Made by the REAL ID Act in 2005</w:t>
      </w:r>
    </w:p>
    <w:p>
      <w:pPr>
        <w:rPr>
          <w:rFonts w:ascii="arial" w:eastAsia="arial" w:hAnsi="arial" w:cs="arial"/>
          <w:sz w:val="20"/>
          <w:lang w:val="en-US" w:eastAsia="en-US" w:bidi="ar-SA"/>
        </w:rPr>
      </w:pPr>
      <w:bookmarkStart w:id="25" w:name="Bookmark_TAACAAFAADAAB"/>
      <w:bookmarkEnd w:id="25"/>
      <w:bookmarkStart w:id="26" w:name="Bookmark__2_e_iii_a"/>
      <w:bookmarkEnd w:id="26"/>
    </w:p>
    <w:p>
      <w:pPr>
        <w:numPr>
          <w:numId w:val="15"/>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20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The REAL ID Act,</w:t>
      </w:r>
      <w:r>
        <w:rPr>
          <w:rFonts w:ascii="arial" w:eastAsia="arial" w:hAnsi="arial" w:cs="arial"/>
          <w:sz w:val="20"/>
          <w:vertAlign w:val="superscript"/>
          <w:lang w:val="en-US" w:eastAsia="en-US" w:bidi="ar-SA"/>
        </w:rPr>
        <w:footnoteReference w:customMarkFollows="1" w:id="58"/>
        <w:t xml:space="preserve">58</w:t>
      </w:r>
      <w:r>
        <w:rPr>
          <w:rFonts w:ascii="arial" w:eastAsia="arial" w:hAnsi="arial" w:cs="arial"/>
          <w:color w:val="000000"/>
          <w:sz w:val="20"/>
          <w:lang w:val="en-US" w:eastAsia="en-US" w:bidi="ar-SA"/>
        </w:rPr>
        <w:t xml:space="preserve"> enacted in 2005, contained many restrictions on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of immigration decisions. Believing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 that “allow[] criminal aliens to delay their expulsion from the United States for years” to be a “waste[] of scarce judicial and executive resources,”</w:t>
      </w:r>
      <w:r>
        <w:rPr>
          <w:rFonts w:ascii="arial" w:eastAsia="arial" w:hAnsi="arial" w:cs="arial"/>
          <w:sz w:val="20"/>
          <w:vertAlign w:val="superscript"/>
          <w:lang w:val="en-US" w:eastAsia="en-US" w:bidi="ar-SA"/>
        </w:rPr>
        <w:footnoteReference w:customMarkFollows="1" w:id="59"/>
        <w:t xml:space="preserve">59</w:t>
      </w:r>
      <w:r>
        <w:rPr>
          <w:rFonts w:ascii="arial" w:eastAsia="arial" w:hAnsi="arial" w:cs="arial"/>
          <w:color w:val="000000"/>
          <w:sz w:val="20"/>
          <w:lang w:val="en-US" w:eastAsia="en-US" w:bidi="ar-SA"/>
        </w:rPr>
        <w:t xml:space="preserve"> the REAL ID Act’s supporters endeavored to amend the INA to limit removable aliens to “one day in the court of appeals.”</w:t>
      </w:r>
      <w:r>
        <w:rPr>
          <w:rFonts w:ascii="arial" w:eastAsia="arial" w:hAnsi="arial" w:cs="arial"/>
          <w:sz w:val="20"/>
          <w:vertAlign w:val="superscript"/>
          <w:lang w:val="en-US" w:eastAsia="en-US" w:bidi="ar-SA"/>
        </w:rPr>
        <w:footnoteReference w:customMarkFollows="1" w:id="60"/>
        <w:t xml:space="preserve">60</w:t>
      </w:r>
    </w:p>
    <w:p>
      <w:pPr>
        <w:spacing w:before="24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Significantly, § 106 of the REAL ID Act followed on the heels of the Supreme Court’s 2001 decision in </w:t>
      </w:r>
      <w:r>
        <w:rPr>
          <w:rFonts w:ascii="arial" w:eastAsia="arial" w:hAnsi="arial" w:cs="arial"/>
          <w:i/>
          <w:color w:val="000000"/>
          <w:sz w:val="20"/>
          <w:lang w:val="en-US" w:eastAsia="en-US" w:bidi="ar-SA"/>
        </w:rPr>
        <w:t>INS v. St. Cyr</w:t>
      </w:r>
      <w:r>
        <w:rPr>
          <w:rFonts w:ascii="arial" w:eastAsia="arial" w:hAnsi="arial" w:cs="arial"/>
          <w:color w:val="000000"/>
          <w:sz w:val="20"/>
          <w:lang w:val="en-US" w:eastAsia="en-US" w:bidi="ar-SA"/>
        </w:rPr>
        <w:t xml:space="preserve">, in which the Court cautioned that “for the [immigration agency] to prevail [in foreclosing judicial review of a removal order through a petition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it must overcome both the strong presumption in favor of judicial review of administrative action and the longstanding rule requiring a clear statement of congressional intent to repeal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w:t>
      </w:r>
      <w:r>
        <w:rPr>
          <w:rFonts w:ascii="arial" w:eastAsia="arial" w:hAnsi="arial" w:cs="arial"/>
          <w:sz w:val="20"/>
          <w:vertAlign w:val="superscript"/>
          <w:lang w:val="en-US" w:eastAsia="en-US" w:bidi="ar-SA"/>
        </w:rPr>
        <w:footnoteReference w:customMarkFollows="1" w:id="61"/>
        <w:t xml:space="preserve">61</w:t>
      </w:r>
      <w:r>
        <w:rPr>
          <w:rFonts w:ascii="arial" w:eastAsia="arial" w:hAnsi="arial" w:cs="arial"/>
          <w:color w:val="000000"/>
          <w:sz w:val="20"/>
          <w:lang w:val="en-US" w:eastAsia="en-US" w:bidi="ar-SA"/>
        </w:rPr>
        <w:t xml:space="preserve"> The Court added that “[i]f it were clear that the question of law could be answered in another judicial forum, it might be permissible to accept the [agency’s] reading of [</w:t>
      </w:r>
      <w:hyperlink r:id="rId22" w:history="1">
        <w:r>
          <w:rPr>
            <w:rFonts w:ascii="arial" w:eastAsia="arial" w:hAnsi="arial" w:cs="arial"/>
            <w:i/>
            <w:color w:val="0077CC"/>
            <w:sz w:val="20"/>
            <w:u w:val="single"/>
            <w:shd w:val="clear" w:color="auto" w:fill="FFFFFF"/>
            <w:lang w:val="en-US" w:eastAsia="en-US" w:bidi="ar-SA"/>
          </w:rPr>
          <w:t>INA § 242, 8 U.S.C. § 1252</w:t>
        </w:r>
      </w:hyperlink>
      <w:r>
        <w:rPr>
          <w:rFonts w:ascii="arial" w:eastAsia="arial" w:hAnsi="arial" w:cs="arial"/>
          <w:color w:val="000000"/>
          <w:sz w:val="20"/>
          <w:lang w:val="en-US" w:eastAsia="en-US" w:bidi="ar-SA"/>
        </w:rPr>
        <w:t xml:space="preserve">]” and conclude that statutory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was repealed by the AEDPA and IIRAIRA.</w:t>
      </w:r>
      <w:r>
        <w:rPr>
          <w:rFonts w:ascii="arial" w:eastAsia="arial" w:hAnsi="arial" w:cs="arial"/>
          <w:sz w:val="20"/>
          <w:vertAlign w:val="superscript"/>
          <w:lang w:val="en-US" w:eastAsia="en-US" w:bidi="ar-SA"/>
        </w:rPr>
        <w:footnoteReference w:customMarkFollows="1" w:id="62"/>
        <w:t xml:space="preserve">62</w:t>
      </w:r>
    </w:p>
    <w:p>
      <w:pPr>
        <w:spacing w:before="20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REAL ID Act addressed the Court’s concerns directly by making a clear statement of congressional intent eliminating statutory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of final removal orders, and by providing another judicial forum for review by expanding the issues that can be reviewed by the courts of appeals.</w:t>
      </w:r>
    </w:p>
    <w:p>
      <w:pPr>
        <w:rPr>
          <w:rFonts w:ascii="arial" w:eastAsia="arial" w:hAnsi="arial" w:cs="arial"/>
          <w:sz w:val="20"/>
          <w:lang w:val="en-US" w:eastAsia="en-US" w:bidi="ar-SA"/>
        </w:rPr>
      </w:pPr>
      <w:bookmarkStart w:id="27" w:name="Bookmark_TAACAAFAADAAC"/>
      <w:bookmarkEnd w:id="27"/>
      <w:bookmarkStart w:id="28" w:name="Bookmark__2_e_iii_b"/>
      <w:bookmarkEnd w:id="28"/>
    </w:p>
    <w:p>
      <w:pPr>
        <w:numPr>
          <w:numId w:val="16"/>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Bars to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Review</w:t>
      </w:r>
    </w:p>
    <w:p>
      <w:pPr>
        <w:spacing w:before="20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Section 106(a) of the REAL ID Act added language to </w:t>
      </w:r>
      <w:hyperlink r:id="rId22" w:history="1">
        <w:r>
          <w:rPr>
            <w:rFonts w:ascii="arial" w:eastAsia="arial" w:hAnsi="arial" w:cs="arial"/>
            <w:i/>
            <w:color w:val="0077CC"/>
            <w:sz w:val="20"/>
            <w:u w:val="single"/>
            <w:shd w:val="clear" w:color="auto" w:fill="FFFFFF"/>
            <w:lang w:val="en-US" w:eastAsia="en-US" w:bidi="ar-SA"/>
          </w:rPr>
          <w:t>INA § 242(a)(2)(A)</w:t>
        </w:r>
      </w:hyperlink>
      <w:r>
        <w:rPr>
          <w:rFonts w:ascii="arial" w:eastAsia="arial" w:hAnsi="arial" w:cs="arial"/>
          <w:color w:val="000000"/>
          <w:sz w:val="20"/>
          <w:lang w:val="en-US" w:eastAsia="en-US" w:bidi="ar-SA"/>
        </w:rPr>
        <w:t xml:space="preserve">, </w:t>
      </w:r>
      <w:hyperlink r:id="rId22" w:history="1">
        <w:r>
          <w:rPr>
            <w:rFonts w:ascii="arial" w:eastAsia="arial" w:hAnsi="arial" w:cs="arial"/>
            <w:i/>
            <w:color w:val="0077CC"/>
            <w:sz w:val="20"/>
            <w:u w:val="single"/>
            <w:shd w:val="clear" w:color="auto" w:fill="FFFFFF"/>
            <w:lang w:val="en-US" w:eastAsia="en-US" w:bidi="ar-SA"/>
          </w:rPr>
          <w:t>(B)</w:t>
        </w:r>
      </w:hyperlink>
      <w:r>
        <w:rPr>
          <w:rFonts w:ascii="arial" w:eastAsia="arial" w:hAnsi="arial" w:cs="arial"/>
          <w:color w:val="000000"/>
          <w:sz w:val="20"/>
          <w:lang w:val="en-US" w:eastAsia="en-US" w:bidi="ar-SA"/>
        </w:rPr>
        <w:t xml:space="preserve">, and </w:t>
      </w:r>
      <w:hyperlink r:id="rId22" w:history="1">
        <w:r>
          <w:rPr>
            <w:rFonts w:ascii="arial" w:eastAsia="arial" w:hAnsi="arial" w:cs="arial"/>
            <w:i/>
            <w:color w:val="0077CC"/>
            <w:sz w:val="20"/>
            <w:u w:val="single"/>
            <w:shd w:val="clear" w:color="auto" w:fill="FFFFFF"/>
            <w:lang w:val="en-US" w:eastAsia="en-US" w:bidi="ar-SA"/>
          </w:rPr>
          <w:t>(C)</w:t>
        </w:r>
      </w:hyperlink>
      <w:r>
        <w:rPr>
          <w:rFonts w:ascii="arial" w:eastAsia="arial" w:hAnsi="arial" w:cs="arial"/>
          <w:color w:val="000000"/>
          <w:sz w:val="20"/>
          <w:lang w:val="en-US" w:eastAsia="en-US" w:bidi="ar-SA"/>
        </w:rPr>
        <w:t xml:space="preserve">, </w:t>
      </w:r>
      <w:hyperlink r:id="rId22" w:history="1">
        <w:r>
          <w:rPr>
            <w:rFonts w:ascii="arial" w:eastAsia="arial" w:hAnsi="arial" w:cs="arial"/>
            <w:i/>
            <w:color w:val="0077CC"/>
            <w:sz w:val="20"/>
            <w:u w:val="single"/>
            <w:shd w:val="clear" w:color="auto" w:fill="FFFFFF"/>
            <w:lang w:val="en-US" w:eastAsia="en-US" w:bidi="ar-SA"/>
          </w:rPr>
          <w:t>(b)(9)</w:t>
        </w:r>
      </w:hyperlink>
      <w:r>
        <w:rPr>
          <w:rFonts w:ascii="arial" w:eastAsia="arial" w:hAnsi="arial" w:cs="arial"/>
          <w:color w:val="000000"/>
          <w:sz w:val="20"/>
          <w:lang w:val="en-US" w:eastAsia="en-US" w:bidi="ar-SA"/>
        </w:rPr>
        <w:t xml:space="preserve">, and </w:t>
      </w:r>
      <w:hyperlink r:id="rId22" w:history="1">
        <w:r>
          <w:rPr>
            <w:rFonts w:ascii="arial" w:eastAsia="arial" w:hAnsi="arial" w:cs="arial"/>
            <w:i/>
            <w:color w:val="0077CC"/>
            <w:sz w:val="20"/>
            <w:u w:val="single"/>
            <w:shd w:val="clear" w:color="auto" w:fill="FFFFFF"/>
            <w:lang w:val="en-US" w:eastAsia="en-US" w:bidi="ar-SA"/>
          </w:rPr>
          <w:t>(g)</w:t>
        </w:r>
      </w:hyperlink>
      <w:r>
        <w:rPr>
          <w:rFonts w:ascii="arial" w:eastAsia="arial" w:hAnsi="arial" w:cs="arial"/>
          <w:color w:val="000000"/>
          <w:sz w:val="20"/>
          <w:lang w:val="en-US" w:eastAsia="en-US" w:bidi="ar-SA"/>
        </w:rPr>
        <w:t xml:space="preserve"> specifically precluding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relief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63"/>
        <w:t xml:space="preserve">63</w:t>
      </w:r>
      <w:r>
        <w:rPr>
          <w:rFonts w:ascii="arial" w:eastAsia="arial" w:hAnsi="arial" w:cs="arial"/>
          <w:color w:val="000000"/>
          <w:sz w:val="20"/>
          <w:lang w:val="en-US" w:eastAsia="en-US" w:bidi="ar-SA"/>
        </w:rPr>
        <w:t xml:space="preserve"> This language attempted to prevent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challenges to all final orders of removal, deportation, or exclusion that were issued before, on, or after May 11, 2005, the REAL Act’s enactment date.</w:t>
      </w:r>
      <w:r>
        <w:rPr>
          <w:rFonts w:ascii="arial" w:eastAsia="arial" w:hAnsi="arial" w:cs="arial"/>
          <w:sz w:val="20"/>
          <w:vertAlign w:val="superscript"/>
          <w:lang w:val="en-US" w:eastAsia="en-US" w:bidi="ar-SA"/>
        </w:rPr>
        <w:footnoteReference w:customMarkFollows="1" w:id="64"/>
        <w:t xml:space="preserve">64</w:t>
      </w:r>
    </w:p>
    <w:p>
      <w:pPr>
        <w:spacing w:before="200" w:line="260" w:lineRule="atLeast"/>
        <w:ind w:left="1440"/>
        <w:jc w:val="both"/>
        <w:rPr>
          <w:rFonts w:ascii="arial" w:eastAsia="arial" w:hAnsi="arial" w:cs="arial"/>
          <w:sz w:val="20"/>
          <w:lang w:val="en-US" w:eastAsia="en-US" w:bidi="ar-SA"/>
        </w:rPr>
      </w:pP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 based on detention rather than removal orders are not directly addressed by the REAL ID Act, and they therefore survived that Act’s jurisdiction-stripping provisions.</w:t>
      </w:r>
      <w:r>
        <w:rPr>
          <w:rFonts w:ascii="arial" w:eastAsia="arial" w:hAnsi="arial" w:cs="arial"/>
          <w:sz w:val="20"/>
          <w:vertAlign w:val="superscript"/>
          <w:lang w:val="en-US" w:eastAsia="en-US" w:bidi="ar-SA"/>
        </w:rPr>
        <w:footnoteReference w:customMarkFollows="1" w:id="65"/>
        <w:t xml:space="preserve">65</w:t>
      </w:r>
    </w:p>
    <w:p>
      <w:pPr>
        <w:spacing w:before="200" w:line="260" w:lineRule="atLeast"/>
        <w:ind w:left="1440"/>
        <w:jc w:val="both"/>
        <w:rPr>
          <w:rFonts w:ascii="arial" w:eastAsia="arial" w:hAnsi="arial" w:cs="arial"/>
          <w:sz w:val="20"/>
          <w:lang w:val="en-US" w:eastAsia="en-US" w:bidi="ar-SA"/>
        </w:rPr>
      </w:pP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 filed in relation to other matters that are not part of a final order of removal also are not affected by the REAL ID Act’s jurisdiction-stripping provisions.</w:t>
      </w:r>
      <w:r>
        <w:rPr>
          <w:rFonts w:ascii="arial" w:eastAsia="arial" w:hAnsi="arial" w:cs="arial"/>
          <w:sz w:val="20"/>
          <w:vertAlign w:val="superscript"/>
          <w:lang w:val="en-US" w:eastAsia="en-US" w:bidi="ar-SA"/>
        </w:rPr>
        <w:footnoteReference w:customMarkFollows="1" w:id="66"/>
        <w:t xml:space="preserve">66</w:t>
      </w:r>
    </w:p>
    <w:p>
      <w:pPr>
        <w:spacing w:before="24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REAL ID Act also added a new review-limiting paragraph to the INA at § 242(a)(4). This new provision dictates that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petitions (including the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variety) may no longer be used to seek relief under the United Nations Convention Against Torture and Other Forms of Cruel, Inhuman, or Degrading Treatment (CAT).</w:t>
      </w:r>
      <w:r>
        <w:rPr>
          <w:rFonts w:ascii="arial" w:eastAsia="arial" w:hAnsi="arial" w:cs="arial"/>
          <w:sz w:val="20"/>
          <w:vertAlign w:val="superscript"/>
          <w:lang w:val="en-US" w:eastAsia="en-US" w:bidi="ar-SA"/>
        </w:rPr>
        <w:footnoteReference w:customMarkFollows="1" w:id="67"/>
        <w:t xml:space="preserve">67</w:t>
      </w:r>
    </w:p>
    <w:p>
      <w:pPr>
        <w:rPr>
          <w:rFonts w:ascii="arial" w:eastAsia="arial" w:hAnsi="arial" w:cs="arial"/>
          <w:sz w:val="20"/>
          <w:lang w:val="en-US" w:eastAsia="en-US" w:bidi="ar-SA"/>
        </w:rPr>
      </w:pPr>
      <w:bookmarkStart w:id="29" w:name="Bookmark_TAACAAFAADAAD"/>
      <w:bookmarkEnd w:id="29"/>
      <w:bookmarkStart w:id="30" w:name="Bookmark__2_e_iii_c"/>
      <w:bookmarkEnd w:id="30"/>
    </w:p>
    <w:p>
      <w:pPr>
        <w:numPr>
          <w:numId w:val="1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Exclusive Review in Courts of Appeals</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The REAL ID Act added an additional review-limiting paragraph to the INA at § 242(a)(5). This provision states:</w:t>
      </w:r>
    </w:p>
    <w:p>
      <w:pPr>
        <w:spacing w:before="120" w:line="260" w:lineRule="atLeast"/>
        <w:ind w:left="18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Exclusive means of review.—Notwithstanding any other provision of law (statutory or nonstatutory), including </w:t>
      </w:r>
      <w:hyperlink r:id="rId20" w:history="1">
        <w:r>
          <w:rPr>
            <w:rFonts w:ascii="arial" w:eastAsia="arial" w:hAnsi="arial" w:cs="arial"/>
            <w:i/>
            <w:color w:val="0077CC"/>
            <w:sz w:val="20"/>
            <w:u w:val="single"/>
            <w:shd w:val="clear" w:color="auto" w:fill="FFFFFF"/>
            <w:lang w:val="en-US" w:eastAsia="en-US" w:bidi="ar-SA"/>
          </w:rPr>
          <w:t>section 2241 of title 28, United States Code</w:t>
        </w:r>
      </w:hyperlink>
      <w:r>
        <w:rPr>
          <w:rFonts w:ascii="arial" w:eastAsia="arial" w:hAnsi="arial" w:cs="arial"/>
          <w:color w:val="000000"/>
          <w:sz w:val="20"/>
          <w:lang w:val="en-US" w:eastAsia="en-US" w:bidi="ar-SA"/>
        </w:rPr>
        <w:t xml:space="preserve">, or any other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provision, and sections 1361 and 1651 of such title, a petition for review filed with an appropriate court of appeals in accordance with this section shall be the sole and exclusive means for judicial review of an order of removal entered or issued under any provision of this Act [the INA], except as provided in subsection (e) [on expedited removal]. For purposes of this Act, in every provision that limits or eliminates judicial review or jurisdiction to review, the terms “judicial review” and “jurisdiction to review” include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pursuant to </w:t>
      </w:r>
      <w:hyperlink r:id="rId20" w:history="1">
        <w:r>
          <w:rPr>
            <w:rFonts w:ascii="arial" w:eastAsia="arial" w:hAnsi="arial" w:cs="arial"/>
            <w:i/>
            <w:color w:val="0077CC"/>
            <w:sz w:val="20"/>
            <w:u w:val="single"/>
            <w:shd w:val="clear" w:color="auto" w:fill="FFFFFF"/>
            <w:lang w:val="en-US" w:eastAsia="en-US" w:bidi="ar-SA"/>
          </w:rPr>
          <w:t>section 2241 of title 28, United States Code</w:t>
        </w:r>
      </w:hyperlink>
      <w:r>
        <w:rPr>
          <w:rFonts w:ascii="arial" w:eastAsia="arial" w:hAnsi="arial" w:cs="arial"/>
          <w:color w:val="000000"/>
          <w:sz w:val="20"/>
          <w:lang w:val="en-US" w:eastAsia="en-US" w:bidi="ar-SA"/>
        </w:rPr>
        <w:t xml:space="preserve">, or any other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provision, sections 1361 and 1651 of such title, and review pursuant to any other provision of law (statutory or nonstatutory).</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This provision attempts to limit immigration petitioners to just one review in federal court. Notably, the statutory language specifying that the term “judicial review” encompasses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directly counters the Supreme Court’s reliance on the historic distinction between these terms to conclude in </w:t>
      </w:r>
      <w:r>
        <w:rPr>
          <w:rFonts w:ascii="arial" w:eastAsia="arial" w:hAnsi="arial" w:cs="arial"/>
          <w:i/>
          <w:color w:val="000000"/>
          <w:sz w:val="20"/>
          <w:lang w:val="en-US" w:eastAsia="en-US" w:bidi="ar-SA"/>
        </w:rPr>
        <w:t>INS v. St. Cyr</w:t>
      </w:r>
      <w:r>
        <w:rPr>
          <w:rFonts w:ascii="arial" w:eastAsia="arial" w:hAnsi="arial" w:cs="arial"/>
          <w:color w:val="000000"/>
          <w:sz w:val="20"/>
          <w:lang w:val="en-US" w:eastAsia="en-US" w:bidi="ar-SA"/>
        </w:rPr>
        <w:t xml:space="preserve"> that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survived the AEDPA and IIRAIRA changes.</w:t>
      </w:r>
      <w:r>
        <w:rPr>
          <w:rFonts w:ascii="arial" w:eastAsia="arial" w:hAnsi="arial" w:cs="arial"/>
          <w:sz w:val="20"/>
          <w:vertAlign w:val="superscript"/>
          <w:lang w:val="en-US" w:eastAsia="en-US" w:bidi="ar-SA"/>
        </w:rPr>
        <w:footnoteReference w:customMarkFollows="1" w:id="68"/>
        <w:t xml:space="preserve">68</w:t>
      </w:r>
      <w:r>
        <w:rPr>
          <w:rFonts w:ascii="arial" w:eastAsia="arial" w:hAnsi="arial" w:cs="arial"/>
          <w:color w:val="000000"/>
          <w:sz w:val="20"/>
          <w:lang w:val="en-US" w:eastAsia="en-US" w:bidi="ar-SA"/>
        </w:rPr>
        <w:t xml:space="preserve"> As written, the new provision dictates that a noncitizen’s only hope for judicial review of a removal order is a petition addressed directly to the appropriate court of appeals.</w:t>
      </w:r>
    </w:p>
    <w:p>
      <w:pPr>
        <w:rPr>
          <w:rFonts w:ascii="arial" w:eastAsia="arial" w:hAnsi="arial" w:cs="arial"/>
          <w:sz w:val="20"/>
          <w:lang w:val="en-US" w:eastAsia="en-US" w:bidi="ar-SA"/>
        </w:rPr>
      </w:pPr>
      <w:bookmarkStart w:id="31" w:name="Bookmark_TAACAAFAADAAE"/>
      <w:bookmarkEnd w:id="31"/>
      <w:bookmarkStart w:id="32" w:name="Bookmark__2_e_iii_d"/>
      <w:bookmarkEnd w:id="32"/>
    </w:p>
    <w:p>
      <w:pPr>
        <w:numPr>
          <w:numId w:val="18"/>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Expanded Jurisdiction of Courts of Appeals</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New </w:t>
      </w:r>
      <w:hyperlink r:id="rId22" w:history="1">
        <w:r>
          <w:rPr>
            <w:rFonts w:ascii="arial" w:eastAsia="arial" w:hAnsi="arial" w:cs="arial"/>
            <w:i/>
            <w:color w:val="0077CC"/>
            <w:sz w:val="20"/>
            <w:u w:val="single"/>
            <w:shd w:val="clear" w:color="auto" w:fill="FFFFFF"/>
            <w:lang w:val="en-US" w:eastAsia="en-US" w:bidi="ar-SA"/>
          </w:rPr>
          <w:t>INA § 242(a)(2)(D)</w:t>
        </w:r>
      </w:hyperlink>
      <w:r>
        <w:rPr>
          <w:rFonts w:ascii="arial" w:eastAsia="arial" w:hAnsi="arial" w:cs="arial"/>
          <w:color w:val="000000"/>
          <w:sz w:val="20"/>
          <w:lang w:val="en-US" w:eastAsia="en-US" w:bidi="ar-SA"/>
        </w:rPr>
        <w:t>, added by the REAL ID Act, expands the jurisdiction of the courts of appeals so that they may address issues previously precluded by the IIRAIRA. The provision states:</w:t>
      </w:r>
    </w:p>
    <w:p>
      <w:pPr>
        <w:spacing w:before="120" w:line="260" w:lineRule="atLeast"/>
        <w:ind w:left="1840"/>
        <w:jc w:val="both"/>
        <w:rPr>
          <w:rFonts w:ascii="arial" w:eastAsia="arial" w:hAnsi="arial" w:cs="arial"/>
          <w:sz w:val="20"/>
          <w:lang w:val="en-US" w:eastAsia="en-US" w:bidi="ar-SA"/>
        </w:rPr>
      </w:pPr>
      <w:r>
        <w:rPr>
          <w:rFonts w:ascii="arial" w:eastAsia="arial" w:hAnsi="arial" w:cs="arial"/>
          <w:color w:val="000000"/>
          <w:sz w:val="20"/>
          <w:lang w:val="en-US" w:eastAsia="en-US" w:bidi="ar-SA"/>
        </w:rPr>
        <w:t>Judicial review of certain legal claims—Nothing in subparagraph (B) or (C), or in any other provision of this Act [the INA] (other than this section) which limits or eliminates judicial review, shall be construed as precluding review of constitutional claims or questions of law raised upon a petition for review filed with an appropriate court of appeals in accordance with this section.</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provision appears to be an attempt to avoid potential constitutional problems created by the REAL ID Act’s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-limiting provisions.</w:t>
      </w:r>
      <w:r>
        <w:rPr>
          <w:rFonts w:ascii="arial" w:eastAsia="arial" w:hAnsi="arial" w:cs="arial"/>
          <w:sz w:val="20"/>
          <w:vertAlign w:val="superscript"/>
          <w:lang w:val="en-US" w:eastAsia="en-US" w:bidi="ar-SA"/>
        </w:rPr>
        <w:footnoteReference w:customMarkFollows="1" w:id="69"/>
        <w:t xml:space="preserve">69</w:t>
      </w:r>
    </w:p>
    <w:p>
      <w:pPr>
        <w:spacing w:before="24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The broadening of court of appeals jurisdiction means that where a petition raises a constitutional claim or a question of law, circuit courts now may consider orders of removal involving criminal grounds. In other words, a circuit court may review issues other than those addressed in the context of determining its own jurisdiction, e.g., whether the underlying conviction actually constitutes the ground of removability that is charged.</w:t>
      </w:r>
      <w:r>
        <w:rPr>
          <w:rFonts w:ascii="arial" w:eastAsia="arial" w:hAnsi="arial" w:cs="arial"/>
          <w:sz w:val="20"/>
          <w:vertAlign w:val="superscript"/>
          <w:lang w:val="en-US" w:eastAsia="en-US" w:bidi="ar-SA"/>
        </w:rPr>
        <w:footnoteReference w:customMarkFollows="1" w:id="70"/>
        <w:t xml:space="preserve">70</w:t>
      </w:r>
      <w:r>
        <w:rPr>
          <w:rFonts w:ascii="arial" w:eastAsia="arial" w:hAnsi="arial" w:cs="arial"/>
          <w:color w:val="000000"/>
          <w:sz w:val="20"/>
          <w:lang w:val="en-US" w:eastAsia="en-US" w:bidi="ar-SA"/>
        </w:rPr>
        <w:t xml:space="preserve"> This expansion includes review of legal or constitutional questions relating to mandatory forms of protection from persecution or torture, i.e., withholding and deferral of removal, that otherwise would be subject to the restriction on judicial review of orders of removal under </w:t>
      </w:r>
      <w:hyperlink r:id="rId22" w:history="1">
        <w:r>
          <w:rPr>
            <w:rFonts w:ascii="arial" w:eastAsia="arial" w:hAnsi="arial" w:cs="arial"/>
            <w:i/>
            <w:color w:val="0077CC"/>
            <w:sz w:val="20"/>
            <w:u w:val="single"/>
            <w:shd w:val="clear" w:color="auto" w:fill="FFFFFF"/>
            <w:lang w:val="en-US" w:eastAsia="en-US" w:bidi="ar-SA"/>
          </w:rPr>
          <w:t>INA § 242(a)(2)(C)</w:t>
        </w:r>
      </w:hyperlink>
      <w:r>
        <w:rPr>
          <w:rFonts w:ascii="arial" w:eastAsia="arial" w:hAnsi="arial" w:cs="arial"/>
          <w:color w:val="000000"/>
          <w:sz w:val="20"/>
          <w:lang w:val="en-US" w:eastAsia="en-US" w:bidi="ar-SA"/>
        </w:rPr>
        <w:t>.</w:t>
      </w:r>
    </w:p>
    <w:p>
      <w:pPr>
        <w:spacing w:before="24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Circuit courts also may address legal or constitutional questions relating to various agency judgments regarding the granting of discretionary relief—including waivers under </w:t>
      </w:r>
      <w:hyperlink r:id="rId23" w:history="1">
        <w:r>
          <w:rPr>
            <w:rFonts w:ascii="arial" w:eastAsia="arial" w:hAnsi="arial" w:cs="arial"/>
            <w:i/>
            <w:color w:val="0077CC"/>
            <w:sz w:val="20"/>
            <w:u w:val="single"/>
            <w:shd w:val="clear" w:color="auto" w:fill="FFFFFF"/>
            <w:lang w:val="en-US" w:eastAsia="en-US" w:bidi="ar-SA"/>
          </w:rPr>
          <w:t>INA § 212(h)</w:t>
        </w:r>
      </w:hyperlink>
      <w:r>
        <w:rPr>
          <w:rFonts w:ascii="arial" w:eastAsia="arial" w:hAnsi="arial" w:cs="arial"/>
          <w:color w:val="000000"/>
          <w:sz w:val="20"/>
          <w:lang w:val="en-US" w:eastAsia="en-US" w:bidi="ar-SA"/>
        </w:rPr>
        <w:t xml:space="preserve"> and </w:t>
      </w:r>
      <w:hyperlink r:id="rId23" w:history="1">
        <w:r>
          <w:rPr>
            <w:rFonts w:ascii="arial" w:eastAsia="arial" w:hAnsi="arial" w:cs="arial"/>
            <w:i/>
            <w:color w:val="0077CC"/>
            <w:sz w:val="20"/>
            <w:u w:val="single"/>
            <w:shd w:val="clear" w:color="auto" w:fill="FFFFFF"/>
            <w:lang w:val="en-US" w:eastAsia="en-US" w:bidi="ar-SA"/>
          </w:rPr>
          <w:t>(i)</w:t>
        </w:r>
      </w:hyperlink>
      <w:r>
        <w:rPr>
          <w:rFonts w:ascii="arial" w:eastAsia="arial" w:hAnsi="arial" w:cs="arial"/>
          <w:color w:val="000000"/>
          <w:sz w:val="20"/>
          <w:lang w:val="en-US" w:eastAsia="en-US" w:bidi="ar-SA"/>
        </w:rPr>
        <w:t xml:space="preserve">, cancellation of removal, voluntary departure, adjustment of status, and other decisions or actions, with the exception of asylum, specified to be in the discretion of the Attorney General—that otherwise would be subject to the restriction on judicial review of denials of discretionary relief under </w:t>
      </w:r>
      <w:hyperlink r:id="rId22" w:history="1">
        <w:r>
          <w:rPr>
            <w:rFonts w:ascii="arial" w:eastAsia="arial" w:hAnsi="arial" w:cs="arial"/>
            <w:i/>
            <w:color w:val="0077CC"/>
            <w:sz w:val="20"/>
            <w:u w:val="single"/>
            <w:shd w:val="clear" w:color="auto" w:fill="FFFFFF"/>
            <w:lang w:val="en-US" w:eastAsia="en-US" w:bidi="ar-SA"/>
          </w:rPr>
          <w:t>INA § 242(a)(2)(B)</w:t>
        </w:r>
      </w:hyperlink>
      <w:r>
        <w:rPr>
          <w:rFonts w:ascii="arial" w:eastAsia="arial" w:hAnsi="arial" w:cs="arial"/>
          <w:color w:val="000000"/>
          <w:sz w:val="20"/>
          <w:lang w:val="en-US" w:eastAsia="en-US" w:bidi="ar-SA"/>
        </w:rPr>
        <w:t>. In addition, courts may now address legal or constitutional questions arising in relation to statutory eligibility for certain forms of relief or benefits, such as voluntary departure, that are subject to individual statutory preclusions barring judicial review.</w:t>
      </w:r>
      <w:r>
        <w:rPr>
          <w:rFonts w:ascii="arial" w:eastAsia="arial" w:hAnsi="arial" w:cs="arial"/>
          <w:sz w:val="20"/>
          <w:vertAlign w:val="superscript"/>
          <w:lang w:val="en-US" w:eastAsia="en-US" w:bidi="ar-SA"/>
        </w:rPr>
        <w:footnoteReference w:customMarkFollows="1" w:id="71"/>
        <w:t xml:space="preserve">71</w:t>
      </w:r>
    </w:p>
    <w:p>
      <w:pPr>
        <w:spacing w:before="24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At the same time, the elimination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of removal orders presents the potential for certain issues to fall through the cracks, with the result that judicial review might be denied inappropriately in some circumstances. Appellate court decisions addressing the scope and limitations of the REAL ID Act’s prohibitions on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are discussed in </w:t>
      </w:r>
      <w:hyperlink r:id="rId19" w:history="1">
        <w:r>
          <w:rPr>
            <w:rFonts w:ascii="arial" w:eastAsia="arial" w:hAnsi="arial" w:cs="arial"/>
            <w:i/>
            <w:color w:val="0077CC"/>
            <w:sz w:val="20"/>
            <w:u w:val="single"/>
            <w:shd w:val="clear" w:color="auto" w:fill="FFFFFF"/>
            <w:lang w:val="en-US" w:eastAsia="en-US" w:bidi="ar-SA"/>
          </w:rPr>
          <w:t>§ 104.04[3][c]</w:t>
        </w:r>
      </w:hyperlink>
      <w:r>
        <w:rPr>
          <w:rFonts w:ascii="arial" w:eastAsia="arial" w:hAnsi="arial" w:cs="arial"/>
          <w:color w:val="000000"/>
          <w:sz w:val="20"/>
          <w:lang w:val="en-US" w:eastAsia="en-US" w:bidi="ar-SA"/>
        </w:rPr>
        <w:t>, below.</w:t>
      </w:r>
    </w:p>
    <w:p>
      <w:pPr>
        <w:rPr>
          <w:rFonts w:ascii="arial" w:eastAsia="arial" w:hAnsi="arial" w:cs="arial"/>
          <w:sz w:val="20"/>
          <w:lang w:val="en-US" w:eastAsia="en-US" w:bidi="ar-SA"/>
        </w:rPr>
      </w:pPr>
      <w:bookmarkStart w:id="33" w:name="Bookmark_TAACAAFAADAAF"/>
      <w:bookmarkEnd w:id="33"/>
      <w:bookmarkStart w:id="34" w:name="Bookmark__2_e_iii_e"/>
      <w:bookmarkEnd w:id="34"/>
    </w:p>
    <w:p>
      <w:pPr>
        <w:numPr>
          <w:numId w:val="1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Transferring Cases from District to Appellate Courts</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Section 106(c) of the REAL ID Act provides for transferring to appellate courts all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cases that were pending before district courts at the time the REAL ID Act became law. Upon such transfer, the cases are to be treated as petitions for review rather than as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 The provision states:</w:t>
      </w:r>
    </w:p>
    <w:p>
      <w:pPr>
        <w:spacing w:before="120" w:line="260" w:lineRule="atLeast"/>
        <w:ind w:left="18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Transfer of Cases.—If an alien’s case, brought under </w:t>
      </w:r>
      <w:hyperlink r:id="rId20" w:history="1">
        <w:r>
          <w:rPr>
            <w:rFonts w:ascii="arial" w:eastAsia="arial" w:hAnsi="arial" w:cs="arial"/>
            <w:i/>
            <w:color w:val="0077CC"/>
            <w:sz w:val="20"/>
            <w:u w:val="single"/>
            <w:shd w:val="clear" w:color="auto" w:fill="FFFFFF"/>
            <w:lang w:val="en-US" w:eastAsia="en-US" w:bidi="ar-SA"/>
          </w:rPr>
          <w:t>section 2241 of title 28, United States Code</w:t>
        </w:r>
      </w:hyperlink>
      <w:r>
        <w:rPr>
          <w:rFonts w:ascii="arial" w:eastAsia="arial" w:hAnsi="arial" w:cs="arial"/>
          <w:color w:val="000000"/>
          <w:sz w:val="20"/>
          <w:lang w:val="en-US" w:eastAsia="en-US" w:bidi="ar-SA"/>
        </w:rPr>
        <w:t xml:space="preserve">, and challenging a final administrative order of removal, deportation, or exclusion, is pending in a district court on the date of the enactment of this division [May 11, 2005], then the district court shall transfer the case (or the part of the case that challenges the order of removal, deportation, or exclusion) to the court of appeals for the circuit in which a petition for review could have been properly filed under </w:t>
      </w:r>
      <w:hyperlink r:id="rId22" w:history="1">
        <w:r>
          <w:rPr>
            <w:rFonts w:ascii="arial" w:eastAsia="arial" w:hAnsi="arial" w:cs="arial"/>
            <w:i/>
            <w:color w:val="0077CC"/>
            <w:sz w:val="20"/>
            <w:u w:val="single"/>
            <w:shd w:val="clear" w:color="auto" w:fill="FFFFFF"/>
            <w:lang w:val="en-US" w:eastAsia="en-US" w:bidi="ar-SA"/>
          </w:rPr>
          <w:t>section 242(b)(2) of the Immigration and Nationality Act</w:t>
        </w:r>
      </w:hyperlink>
      <w:r>
        <w:rPr>
          <w:rFonts w:ascii="arial" w:eastAsia="arial" w:hAnsi="arial" w:cs="arial"/>
          <w:color w:val="000000"/>
          <w:sz w:val="20"/>
          <w:lang w:val="en-US" w:eastAsia="en-US" w:bidi="ar-SA"/>
        </w:rPr>
        <w:t xml:space="preserve"> (</w:t>
      </w:r>
      <w:hyperlink r:id="rId22" w:history="1">
        <w:r>
          <w:rPr>
            <w:rFonts w:ascii="arial" w:eastAsia="arial" w:hAnsi="arial" w:cs="arial"/>
            <w:i/>
            <w:color w:val="0077CC"/>
            <w:sz w:val="20"/>
            <w:u w:val="single"/>
            <w:shd w:val="clear" w:color="auto" w:fill="FFFFFF"/>
            <w:lang w:val="en-US" w:eastAsia="en-US" w:bidi="ar-SA"/>
          </w:rPr>
          <w:t>8 U.S.C. 1252</w:t>
        </w:r>
      </w:hyperlink>
      <w:r>
        <w:rPr>
          <w:rFonts w:ascii="arial" w:eastAsia="arial" w:hAnsi="arial" w:cs="arial"/>
          <w:color w:val="000000"/>
          <w:sz w:val="20"/>
          <w:lang w:val="en-US" w:eastAsia="en-US" w:bidi="ar-SA"/>
        </w:rPr>
        <w:t>), as amended by this section, or under section 309(c)(4)(D) of the Illegal Immigration Reform and Immigrant Responsibility Act of 1996 (</w:t>
      </w:r>
      <w:hyperlink r:id="rId24" w:history="1">
        <w:r>
          <w:rPr>
            <w:rFonts w:ascii="arial" w:eastAsia="arial" w:hAnsi="arial" w:cs="arial"/>
            <w:i/>
            <w:color w:val="0077CC"/>
            <w:sz w:val="20"/>
            <w:u w:val="single"/>
            <w:shd w:val="clear" w:color="auto" w:fill="FFFFFF"/>
            <w:lang w:val="en-US" w:eastAsia="en-US" w:bidi="ar-SA"/>
          </w:rPr>
          <w:t>8 U.S.C. 1101</w:t>
        </w:r>
      </w:hyperlink>
      <w:r>
        <w:rPr>
          <w:rFonts w:ascii="arial" w:eastAsia="arial" w:hAnsi="arial" w:cs="arial"/>
          <w:color w:val="000000"/>
          <w:sz w:val="20"/>
          <w:lang w:val="en-US" w:eastAsia="en-US" w:bidi="ar-SA"/>
        </w:rPr>
        <w:t xml:space="preserve"> note). The court of appeals shall treat the transferred case as if it had been filed pursuant to a petition for review under such section 242, except that subsection (b)(1) of such section shall not apply.</w:t>
      </w:r>
    </w:p>
    <w:p>
      <w:pPr>
        <w:spacing w:before="20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Since this subsection of the REAL ID Act did not provide the actual mechanics of the transfer process, the courts were left to devise their own rules.</w:t>
      </w:r>
      <w:r>
        <w:rPr>
          <w:rFonts w:ascii="arial" w:eastAsia="arial" w:hAnsi="arial" w:cs="arial"/>
          <w:sz w:val="20"/>
          <w:vertAlign w:val="superscript"/>
          <w:lang w:val="en-US" w:eastAsia="en-US" w:bidi="ar-SA"/>
        </w:rPr>
        <w:footnoteReference w:customMarkFollows="1" w:id="72"/>
        <w:t xml:space="preserve">72</w:t>
      </w:r>
      <w:r>
        <w:rPr>
          <w:rFonts w:ascii="arial" w:eastAsia="arial" w:hAnsi="arial" w:cs="arial"/>
          <w:color w:val="000000"/>
          <w:sz w:val="20"/>
          <w:lang w:val="en-US" w:eastAsia="en-US" w:bidi="ar-SA"/>
        </w:rPr>
        <w:t xml:space="preserve"> The district courts began to transfer their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cases once the REAL ID Act took effect.</w:t>
      </w:r>
      <w:r>
        <w:rPr>
          <w:rFonts w:ascii="arial" w:eastAsia="arial" w:hAnsi="arial" w:cs="arial"/>
          <w:sz w:val="20"/>
          <w:vertAlign w:val="superscript"/>
          <w:lang w:val="en-US" w:eastAsia="en-US" w:bidi="ar-SA"/>
        </w:rPr>
        <w:footnoteReference w:customMarkFollows="1" w:id="73"/>
        <w:t xml:space="preserve">73</w:t>
      </w:r>
      <w:r>
        <w:rPr>
          <w:rFonts w:ascii="arial" w:eastAsia="arial" w:hAnsi="arial" w:cs="arial"/>
          <w:color w:val="000000"/>
          <w:sz w:val="20"/>
          <w:lang w:val="en-US" w:eastAsia="en-US" w:bidi="ar-SA"/>
        </w:rPr>
        <w:t xml:space="preserve"> They also dismissed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 rather than transfer them, in the following instances: where the petition needed to be filed in a circuit other than the one in which the district court sat;</w:t>
      </w:r>
      <w:r>
        <w:rPr>
          <w:rFonts w:ascii="arial" w:eastAsia="arial" w:hAnsi="arial" w:cs="arial"/>
          <w:sz w:val="20"/>
          <w:vertAlign w:val="superscript"/>
          <w:lang w:val="en-US" w:eastAsia="en-US" w:bidi="ar-SA"/>
        </w:rPr>
        <w:footnoteReference w:customMarkFollows="1" w:id="74"/>
        <w:t xml:space="preserve">74</w:t>
      </w:r>
      <w:r>
        <w:rPr>
          <w:rFonts w:ascii="arial" w:eastAsia="arial" w:hAnsi="arial" w:cs="arial"/>
          <w:color w:val="000000"/>
          <w:sz w:val="20"/>
          <w:lang w:val="en-US" w:eastAsia="en-US" w:bidi="ar-SA"/>
        </w:rPr>
        <w:t xml:space="preserve"> where the petition was clearly meritless;</w:t>
      </w:r>
      <w:r>
        <w:rPr>
          <w:rFonts w:ascii="arial" w:eastAsia="arial" w:hAnsi="arial" w:cs="arial"/>
          <w:sz w:val="20"/>
          <w:vertAlign w:val="superscript"/>
          <w:lang w:val="en-US" w:eastAsia="en-US" w:bidi="ar-SA"/>
        </w:rPr>
        <w:footnoteReference w:customMarkFollows="1" w:id="75"/>
        <w:t xml:space="preserve">75</w:t>
      </w:r>
      <w:r>
        <w:rPr>
          <w:rFonts w:ascii="arial" w:eastAsia="arial" w:hAnsi="arial" w:cs="arial"/>
          <w:color w:val="000000"/>
          <w:sz w:val="20"/>
          <w:lang w:val="en-US" w:eastAsia="en-US" w:bidi="ar-SA"/>
        </w:rPr>
        <w:t xml:space="preserve"> where the removal order in question was not yet “final”;</w:t>
      </w:r>
      <w:r>
        <w:rPr>
          <w:rFonts w:ascii="arial" w:eastAsia="arial" w:hAnsi="arial" w:cs="arial"/>
          <w:sz w:val="20"/>
          <w:vertAlign w:val="superscript"/>
          <w:lang w:val="en-US" w:eastAsia="en-US" w:bidi="ar-SA"/>
        </w:rPr>
        <w:footnoteReference w:customMarkFollows="1" w:id="76"/>
        <w:t xml:space="preserve">76</w:t>
      </w:r>
      <w:r>
        <w:rPr>
          <w:rFonts w:ascii="arial" w:eastAsia="arial" w:hAnsi="arial" w:cs="arial"/>
          <w:color w:val="000000"/>
          <w:sz w:val="20"/>
          <w:lang w:val="en-US" w:eastAsia="en-US" w:bidi="ar-SA"/>
        </w:rPr>
        <w:t xml:space="preserve"> and where the petition was not already pending at the time the REAL ID Act was passed.</w:t>
      </w:r>
      <w:r>
        <w:rPr>
          <w:rFonts w:ascii="arial" w:eastAsia="arial" w:hAnsi="arial" w:cs="arial"/>
          <w:sz w:val="20"/>
          <w:vertAlign w:val="superscript"/>
          <w:lang w:val="en-US" w:eastAsia="en-US" w:bidi="ar-SA"/>
        </w:rPr>
        <w:footnoteReference w:customMarkFollows="1" w:id="77"/>
        <w:t xml:space="preserve">77</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Questions concerning filing deadlines, the relationship between a prior district court order and a circuit court’s review, and proper jurisdiction and venue for transferred cases have all been addressed in numerous circuit court decisions issued since enactment of the REAL ID Act.</w:t>
      </w:r>
      <w:r>
        <w:rPr>
          <w:rFonts w:ascii="arial" w:eastAsia="arial" w:hAnsi="arial" w:cs="arial"/>
          <w:sz w:val="20"/>
          <w:vertAlign w:val="superscript"/>
          <w:lang w:val="en-US" w:eastAsia="en-US" w:bidi="ar-SA"/>
        </w:rPr>
        <w:footnoteReference w:customMarkFollows="1" w:id="78"/>
        <w:t xml:space="preserve">78</w:t>
      </w:r>
    </w:p>
    <w:p>
      <w:pPr>
        <w:rPr>
          <w:rFonts w:ascii="arial" w:eastAsia="arial" w:hAnsi="arial" w:cs="arial"/>
          <w:sz w:val="20"/>
          <w:lang w:val="en-US" w:eastAsia="en-US" w:bidi="ar-SA"/>
        </w:rPr>
      </w:pPr>
      <w:bookmarkStart w:id="35" w:name="Bookmark_TAAD"/>
      <w:bookmarkEnd w:id="35"/>
      <w:bookmarkStart w:id="36" w:name="Bookmark__3"/>
      <w:bookmarkEnd w:id="36"/>
    </w:p>
    <w:p>
      <w:pPr>
        <w:numPr>
          <w:numId w:val="20"/>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Scope of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Jurisdiction</w:t>
      </w:r>
    </w:p>
    <w:p>
      <w:pPr>
        <w:rPr>
          <w:rFonts w:ascii="arial" w:eastAsia="arial" w:hAnsi="arial" w:cs="arial"/>
          <w:sz w:val="20"/>
          <w:lang w:val="en-US" w:eastAsia="en-US" w:bidi="ar-SA"/>
        </w:rPr>
      </w:pPr>
      <w:bookmarkStart w:id="37" w:name="Bookmark_TAADAAB"/>
      <w:bookmarkEnd w:id="37"/>
      <w:bookmarkStart w:id="38" w:name="Bookmark__3_a"/>
      <w:bookmarkEnd w:id="38"/>
    </w:p>
    <w:p>
      <w:pPr>
        <w:numPr>
          <w:numId w:val="2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Pre-AEDPA and IIRAIRA</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its precursor’s inclusion in the Judiciary Act of 1789,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has given jurisdiction to district courts to grant writs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to petitioners who are held in custody by the federal government in violation of the Constitution, laws, or treaties of the United States. Under this statute, federal courts have considered both constitutional claims and claims of statutory interpretation.</w:t>
      </w:r>
      <w:r>
        <w:rPr>
          <w:rFonts w:ascii="arial" w:eastAsia="arial" w:hAnsi="arial" w:cs="arial"/>
          <w:sz w:val="20"/>
          <w:vertAlign w:val="superscript"/>
          <w:lang w:val="en-US" w:eastAsia="en-US" w:bidi="ar-SA"/>
        </w:rPr>
        <w:footnoteReference w:customMarkFollows="1" w:id="79"/>
        <w:t xml:space="preserve">79</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the INA before 1996,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 could be brought to challenge a deportation or exclusion order.</w:t>
      </w:r>
      <w:r>
        <w:rPr>
          <w:rFonts w:ascii="arial" w:eastAsia="arial" w:hAnsi="arial" w:cs="arial"/>
          <w:sz w:val="20"/>
          <w:vertAlign w:val="superscript"/>
          <w:lang w:val="en-US" w:eastAsia="en-US" w:bidi="ar-SA"/>
        </w:rPr>
        <w:footnoteReference w:customMarkFollows="1" w:id="80"/>
        <w:t xml:space="preserve">80</w:t>
      </w:r>
      <w:r>
        <w:rPr>
          <w:rFonts w:ascii="arial" w:eastAsia="arial" w:hAnsi="arial" w:cs="arial"/>
          <w:color w:val="000000"/>
          <w:sz w:val="20"/>
          <w:lang w:val="en-US" w:eastAsia="en-US" w:bidi="ar-SA"/>
        </w:rPr>
        <w:t xml:space="preserv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also was used in a variety of other contexts:</w:t>
      </w:r>
    </w:p>
    <w:p>
      <w:pPr>
        <w:numPr>
          <w:numId w:val="22"/>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To review discretionary decisions by INS District Directors, immigration judges, or the BIA to deny a stay of deportation, particularly when such stays were sought in connection with a motion to reopen or reconsider that had not been finally adjudicated;</w:t>
      </w:r>
      <w:r>
        <w:rPr>
          <w:rFonts w:ascii="arial" w:eastAsia="arial" w:hAnsi="arial" w:cs="arial"/>
          <w:sz w:val="20"/>
          <w:vertAlign w:val="superscript"/>
          <w:lang w:val="en-US" w:eastAsia="en-US" w:bidi="ar-SA"/>
        </w:rPr>
        <w:footnoteReference w:customMarkFollows="1" w:id="81"/>
        <w:t xml:space="preserve">81</w:t>
      </w:r>
    </w:p>
    <w:p>
      <w:pPr>
        <w:numPr>
          <w:numId w:val="23"/>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To challenge an INS decision not to release a noncitizen in exclusion proceedings on parole or bond;</w:t>
      </w:r>
      <w:r>
        <w:rPr>
          <w:rFonts w:ascii="arial" w:eastAsia="arial" w:hAnsi="arial" w:cs="arial"/>
          <w:sz w:val="20"/>
          <w:vertAlign w:val="superscript"/>
          <w:lang w:val="en-US" w:eastAsia="en-US" w:bidi="ar-SA"/>
        </w:rPr>
        <w:footnoteReference w:customMarkFollows="1" w:id="82"/>
        <w:t xml:space="preserve">82</w:t>
      </w:r>
    </w:p>
    <w:p>
      <w:pPr>
        <w:numPr>
          <w:numId w:val="24"/>
        </w:numPr>
        <w:spacing w:before="12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To review a denial of voluntary departure;</w:t>
      </w:r>
      <w:r>
        <w:rPr>
          <w:rFonts w:ascii="arial" w:eastAsia="arial" w:hAnsi="arial" w:cs="arial"/>
          <w:sz w:val="20"/>
          <w:vertAlign w:val="superscript"/>
          <w:lang w:val="en-US" w:eastAsia="en-US" w:bidi="ar-SA"/>
        </w:rPr>
        <w:footnoteReference w:customMarkFollows="1" w:id="83"/>
        <w:t xml:space="preserve">83</w:t>
      </w:r>
      <w:r>
        <w:rPr>
          <w:rFonts w:ascii="arial" w:eastAsia="arial" w:hAnsi="arial" w:cs="arial"/>
          <w:color w:val="000000"/>
          <w:sz w:val="20"/>
          <w:lang w:val="en-US" w:eastAsia="en-US" w:bidi="ar-SA"/>
        </w:rPr>
        <w:t xml:space="preserve"> or</w:t>
      </w:r>
    </w:p>
    <w:p>
      <w:pPr>
        <w:numPr>
          <w:numId w:val="25"/>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To review the INS’s denial of parole pending the determination of the noncitizen’s immigration status. The court could determine whether the agency articulated some individualized, facially legitimate, and bona fide reason for denying parole and some factual basis for that decision in each individual case.</w:t>
      </w:r>
      <w:r>
        <w:rPr>
          <w:rFonts w:ascii="arial" w:eastAsia="arial" w:hAnsi="arial" w:cs="arial"/>
          <w:sz w:val="20"/>
          <w:vertAlign w:val="superscript"/>
          <w:lang w:val="en-US" w:eastAsia="en-US" w:bidi="ar-SA"/>
        </w:rPr>
        <w:footnoteReference w:customMarkFollows="1" w:id="84"/>
        <w:t xml:space="preserve">84</w:t>
      </w:r>
    </w:p>
    <w:p>
      <w:pPr>
        <w:rPr>
          <w:rFonts w:ascii="arial" w:eastAsia="arial" w:hAnsi="arial" w:cs="arial"/>
          <w:sz w:val="20"/>
          <w:lang w:val="en-US" w:eastAsia="en-US" w:bidi="ar-SA"/>
        </w:rPr>
      </w:pPr>
      <w:bookmarkStart w:id="39" w:name="Bookmark_TAADAAC"/>
      <w:bookmarkEnd w:id="39"/>
      <w:bookmarkStart w:id="40" w:name="Bookmark__3_b"/>
      <w:bookmarkEnd w:id="40"/>
    </w:p>
    <w:p>
      <w:pPr>
        <w:numPr>
          <w:numId w:val="26"/>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Post-AEDPA and IIRAIRA</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Neither the AEDPA nor the IIRAIRA expressly repealed or restricted statutory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The Supreme Court found that statutory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 was not repealed by either the AEDPA or the IIRAIRA and that it remained available.</w:t>
      </w:r>
      <w:r>
        <w:rPr>
          <w:rFonts w:ascii="arial" w:eastAsia="arial" w:hAnsi="arial" w:cs="arial"/>
          <w:sz w:val="20"/>
          <w:vertAlign w:val="superscript"/>
          <w:lang w:val="en-US" w:eastAsia="en-US" w:bidi="ar-SA"/>
        </w:rPr>
        <w:footnoteReference w:customMarkFollows="1" w:id="85"/>
        <w:t xml:space="preserve">85</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Courts repeatedly recognized that noncitizens can press statutory questions in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 even when “judicial review in the immigration context was reduced to the minimum required by the Constitution.”</w:t>
      </w:r>
      <w:r>
        <w:rPr>
          <w:rFonts w:ascii="arial" w:eastAsia="arial" w:hAnsi="arial" w:cs="arial"/>
          <w:sz w:val="20"/>
          <w:vertAlign w:val="superscript"/>
          <w:lang w:val="en-US" w:eastAsia="en-US" w:bidi="ar-SA"/>
        </w:rPr>
        <w:footnoteReference w:customMarkFollows="1" w:id="86"/>
        <w:t xml:space="preserve">86</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plain language of § 2241 itself does not contemplate a limitation of jurisdiction to constitutional claims.</w:t>
      </w:r>
      <w:r>
        <w:rPr>
          <w:rFonts w:ascii="arial" w:eastAsia="arial" w:hAnsi="arial" w:cs="arial"/>
          <w:sz w:val="20"/>
          <w:vertAlign w:val="superscript"/>
          <w:lang w:val="en-US" w:eastAsia="en-US" w:bidi="ar-SA"/>
        </w:rPr>
        <w:footnoteReference w:customMarkFollows="1" w:id="87"/>
        <w:t xml:space="preserve">87</w:t>
      </w:r>
      <w:r>
        <w:rPr>
          <w:rFonts w:ascii="arial" w:eastAsia="arial" w:hAnsi="arial" w:cs="arial"/>
          <w:color w:val="000000"/>
          <w:sz w:val="20"/>
          <w:lang w:val="en-US" w:eastAsia="en-US" w:bidi="ar-SA"/>
        </w:rPr>
        <w:t xml:space="preserve"> While declining to define the precise limit of jurisdiction under § 2241, in </w:t>
      </w:r>
      <w:r>
        <w:rPr>
          <w:rFonts w:ascii="arial" w:eastAsia="arial" w:hAnsi="arial" w:cs="arial"/>
          <w:i/>
          <w:color w:val="000000"/>
          <w:sz w:val="20"/>
          <w:lang w:val="en-US" w:eastAsia="en-US" w:bidi="ar-SA"/>
        </w:rPr>
        <w:t>INS v. St. Cyr</w:t>
      </w:r>
      <w:r>
        <w:rPr>
          <w:rFonts w:ascii="arial" w:eastAsia="arial" w:hAnsi="arial" w:cs="arial"/>
          <w:color w:val="000000"/>
          <w:sz w:val="20"/>
          <w:lang w:val="en-US" w:eastAsia="en-US" w:bidi="ar-SA"/>
        </w:rPr>
        <w:t xml:space="preserve"> the Supreme Court at least held that it had jurisdiction to review statutory challenges.</w:t>
      </w:r>
      <w:r>
        <w:rPr>
          <w:rFonts w:ascii="arial" w:eastAsia="arial" w:hAnsi="arial" w:cs="arial"/>
          <w:sz w:val="20"/>
          <w:vertAlign w:val="superscript"/>
          <w:lang w:val="en-US" w:eastAsia="en-US" w:bidi="ar-SA"/>
        </w:rPr>
        <w:footnoteReference w:customMarkFollows="1" w:id="88"/>
        <w:t xml:space="preserve">88</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Courts have ruled that § 2241 limits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to questions of pure law; therefore, review of factual or discretionary issues may be prohibited.</w:t>
      </w:r>
      <w:r>
        <w:rPr>
          <w:rFonts w:ascii="arial" w:eastAsia="arial" w:hAnsi="arial" w:cs="arial"/>
          <w:sz w:val="20"/>
          <w:vertAlign w:val="superscript"/>
          <w:lang w:val="en-US" w:eastAsia="en-US" w:bidi="ar-SA"/>
        </w:rPr>
        <w:footnoteReference w:customMarkFollows="1" w:id="89"/>
        <w:t xml:space="preserve">89</w:t>
      </w:r>
      <w:r>
        <w:rPr>
          <w:rFonts w:ascii="arial" w:eastAsia="arial" w:hAnsi="arial" w:cs="arial"/>
          <w:color w:val="000000"/>
          <w:sz w:val="20"/>
          <w:lang w:val="en-US" w:eastAsia="en-US" w:bidi="ar-SA"/>
        </w:rPr>
        <w:t xml:space="preserve"> Thus, review of immigration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petitions may not be as broad under § 2241 as it was under former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90"/>
        <w:t xml:space="preserve">90</w:t>
      </w:r>
      <w:r>
        <w:rPr>
          <w:rFonts w:ascii="arial" w:eastAsia="arial" w:hAnsi="arial" w:cs="arial"/>
          <w:color w:val="000000"/>
          <w:sz w:val="20"/>
          <w:lang w:val="en-US" w:eastAsia="en-US" w:bidi="ar-SA"/>
        </w:rPr>
        <w:t xml:space="preserve"> However, while courts lack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 to review administrative determinations of fact, they may review the application of the particular facts in the case to the relevant law.</w:t>
      </w:r>
      <w:r>
        <w:rPr>
          <w:rFonts w:ascii="arial" w:eastAsia="arial" w:hAnsi="arial" w:cs="arial"/>
          <w:sz w:val="20"/>
          <w:vertAlign w:val="superscript"/>
          <w:lang w:val="en-US" w:eastAsia="en-US" w:bidi="ar-SA"/>
        </w:rPr>
        <w:footnoteReference w:customMarkFollows="1" w:id="91"/>
        <w:t xml:space="preserve">91</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Between 1996 and 2005, courts found jurisdiction under § 2241 to obtain review of many claims and issues, including challenges to the constitutionality and retroactive application of new statutory provisions, challenges to underlying factual findings, and the underlying bases for denials of discretionary relief.</w:t>
      </w:r>
      <w:r>
        <w:rPr>
          <w:rFonts w:ascii="arial" w:eastAsia="arial" w:hAnsi="arial" w:cs="arial"/>
          <w:sz w:val="20"/>
          <w:vertAlign w:val="superscript"/>
          <w:lang w:val="en-US" w:eastAsia="en-US" w:bidi="ar-SA"/>
        </w:rPr>
        <w:footnoteReference w:customMarkFollows="1" w:id="92"/>
        <w:t xml:space="preserve">92</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Courts also have held that they have jurisdiction to determine whether they have jurisdiction.</w:t>
      </w:r>
      <w:r>
        <w:rPr>
          <w:rFonts w:ascii="arial" w:eastAsia="arial" w:hAnsi="arial" w:cs="arial"/>
          <w:sz w:val="20"/>
          <w:vertAlign w:val="superscript"/>
          <w:lang w:val="en-US" w:eastAsia="en-US" w:bidi="ar-SA"/>
        </w:rPr>
        <w:footnoteReference w:customMarkFollows="1" w:id="93"/>
        <w:t xml:space="preserve">93</w:t>
      </w:r>
      <w:r>
        <w:rPr>
          <w:rFonts w:ascii="arial" w:eastAsia="arial" w:hAnsi="arial" w:cs="arial"/>
          <w:color w:val="000000"/>
          <w:sz w:val="20"/>
          <w:lang w:val="en-US" w:eastAsia="en-US" w:bidi="ar-SA"/>
        </w:rPr>
        <w:t xml:space="preserve"> This means that they can determine such “jurisdictional facts” as whether the petitioner is a noncitizen; whether he or she is deportable or removable; and whether he or she is deportable or removable “by reason of having committed a covered criminal offense.”</w:t>
      </w:r>
      <w:r>
        <w:rPr>
          <w:rFonts w:ascii="arial" w:eastAsia="arial" w:hAnsi="arial" w:cs="arial"/>
          <w:sz w:val="20"/>
          <w:vertAlign w:val="superscript"/>
          <w:lang w:val="en-US" w:eastAsia="en-US" w:bidi="ar-SA"/>
        </w:rPr>
        <w:footnoteReference w:customMarkFollows="1" w:id="94"/>
        <w:t xml:space="preserve">94</w:t>
      </w:r>
    </w:p>
    <w:p>
      <w:pPr>
        <w:rPr>
          <w:rFonts w:ascii="arial" w:eastAsia="arial" w:hAnsi="arial" w:cs="arial"/>
          <w:sz w:val="20"/>
          <w:lang w:val="en-US" w:eastAsia="en-US" w:bidi="ar-SA"/>
        </w:rPr>
      </w:pPr>
      <w:bookmarkStart w:id="41" w:name="Bookmark_TAADAAD"/>
      <w:bookmarkEnd w:id="41"/>
      <w:bookmarkStart w:id="42" w:name="Bookmark__3_c"/>
      <w:bookmarkEnd w:id="42"/>
    </w:p>
    <w:p>
      <w:pPr>
        <w:numPr>
          <w:numId w:val="2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Current Scope of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Jurisdiction After the REAL ID Act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courts continue to address the complicated question of what scope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survives the REAL ID Act’s attempt to preempt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 Generally, issues directly related to removal orders are limited by the REAL ID Act to review in the courts of appeals, rather than in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 Stays of removal are generally considered to be directly related to removal orders and therefore limited to review in the courts of appeals.</w:t>
      </w:r>
      <w:r>
        <w:rPr>
          <w:rFonts w:ascii="arial" w:eastAsia="arial" w:hAnsi="arial" w:cs="arial"/>
          <w:sz w:val="20"/>
          <w:vertAlign w:val="superscript"/>
          <w:lang w:val="en-US" w:eastAsia="en-US" w:bidi="ar-SA"/>
        </w:rPr>
        <w:footnoteReference w:customMarkFollows="1" w:id="95"/>
        <w:t xml:space="preserve">95</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However, issues that are not directly part of the removal order itself are still subject to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w:t>
      </w:r>
      <w:r>
        <w:rPr>
          <w:rFonts w:ascii="arial" w:eastAsia="arial" w:hAnsi="arial" w:cs="arial"/>
          <w:sz w:val="20"/>
          <w:vertAlign w:val="superscript"/>
          <w:lang w:val="en-US" w:eastAsia="en-US" w:bidi="ar-SA"/>
        </w:rPr>
        <w:footnoteReference w:customMarkFollows="1" w:id="96"/>
        <w:t xml:space="preserve">96</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Several courts have also addressed whether the REAL ID Act’s prohibition on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of final removal orders violates the Suspension Clause. These courts have so far held that review in the courts of appeals is an adequate substitute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and that therefore the REAL ID Act does not violate the Constitution.</w:t>
      </w:r>
      <w:r>
        <w:rPr>
          <w:rFonts w:ascii="arial" w:eastAsia="arial" w:hAnsi="arial" w:cs="arial"/>
          <w:sz w:val="20"/>
          <w:vertAlign w:val="superscript"/>
          <w:lang w:val="en-US" w:eastAsia="en-US" w:bidi="ar-SA"/>
        </w:rPr>
        <w:footnoteReference w:customMarkFollows="1" w:id="97"/>
        <w:t xml:space="preserve">97</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However, the Supreme Court, in </w:t>
      </w:r>
      <w:r>
        <w:rPr>
          <w:rFonts w:ascii="arial" w:eastAsia="arial" w:hAnsi="arial" w:cs="arial"/>
          <w:i/>
          <w:color w:val="000000"/>
          <w:sz w:val="20"/>
          <w:lang w:val="en-US" w:eastAsia="en-US" w:bidi="ar-SA"/>
        </w:rPr>
        <w:t>Boumediene v. Bush</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98"/>
        <w:t xml:space="preserve">98</w:t>
      </w:r>
      <w:r>
        <w:rPr>
          <w:rFonts w:ascii="arial" w:eastAsia="arial" w:hAnsi="arial" w:cs="arial"/>
          <w:color w:val="000000"/>
          <w:sz w:val="20"/>
          <w:lang w:val="en-US" w:eastAsia="en-US" w:bidi="ar-SA"/>
        </w:rPr>
        <w:t xml:space="preserve"> suggested that restricting review to the courts of appeals may violate the Suspension Clause. While the case dealt largely with the question of the geographic reach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for individuals detained in U.S. facilities at Guantanamo Bay, Cuba, as “enemy combatants,” the Court held that any substitute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must still meet constitutional requirements under the Suspension Clause. Among those requirements are the opportunity to present relevant exculpatory evidence, to have the court make a determination in light of the relevant law and facts, and to have a remedy of release from detention.</w:t>
      </w:r>
      <w:r>
        <w:rPr>
          <w:rFonts w:ascii="arial" w:eastAsia="arial" w:hAnsi="arial" w:cs="arial"/>
          <w:sz w:val="20"/>
          <w:vertAlign w:val="superscript"/>
          <w:lang w:val="en-US" w:eastAsia="en-US" w:bidi="ar-SA"/>
        </w:rPr>
        <w:footnoteReference w:customMarkFollows="1" w:id="99"/>
        <w:t xml:space="preserve">99</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 leading constitutional scholar underscores the significance of this case:</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Supreme Court had never before found a violation of the Suspension Clause, and the holding of </w:t>
      </w:r>
      <w:r>
        <w:rPr>
          <w:rFonts w:ascii="arial" w:eastAsia="arial" w:hAnsi="arial" w:cs="arial"/>
          <w:i/>
          <w:color w:val="000000"/>
          <w:sz w:val="20"/>
          <w:lang w:val="en-US" w:eastAsia="en-US" w:bidi="ar-SA"/>
        </w:rPr>
        <w:t>Boumediene</w:t>
      </w:r>
      <w:r>
        <w:rPr>
          <w:rFonts w:ascii="arial" w:eastAsia="arial" w:hAnsi="arial" w:cs="arial"/>
          <w:color w:val="000000"/>
          <w:sz w:val="20"/>
          <w:lang w:val="en-US" w:eastAsia="en-US" w:bidi="ar-SA"/>
        </w:rPr>
        <w:t xml:space="preserve"> gives its reasoning a precedential significance that earlier discussions lack. Prior holdings had told us what the Suspension Clause does not protect, or what the Suspension Clause night possibly protect. </w:t>
      </w:r>
      <w:r>
        <w:rPr>
          <w:rFonts w:ascii="arial" w:eastAsia="arial" w:hAnsi="arial" w:cs="arial"/>
          <w:i/>
          <w:color w:val="000000"/>
          <w:sz w:val="20"/>
          <w:lang w:val="en-US" w:eastAsia="en-US" w:bidi="ar-SA"/>
        </w:rPr>
        <w:t>Boumediene</w:t>
      </w:r>
      <w:r>
        <w:rPr>
          <w:rFonts w:ascii="arial" w:eastAsia="arial" w:hAnsi="arial" w:cs="arial"/>
          <w:color w:val="000000"/>
          <w:sz w:val="20"/>
          <w:lang w:val="en-US" w:eastAsia="en-US" w:bidi="ar-SA"/>
        </w:rPr>
        <w:t xml:space="preserve"> clarifies, in the concrete way that only a holding can in a system that privileges precedent, what the Suspension Clause does protect.</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i/>
          <w:color w:val="000000"/>
          <w:sz w:val="20"/>
          <w:lang w:val="en-US" w:eastAsia="en-US" w:bidi="ar-SA"/>
        </w:rPr>
        <w:t>Boumediene</w:t>
      </w:r>
      <w:r>
        <w:rPr>
          <w:rFonts w:ascii="arial" w:eastAsia="arial" w:hAnsi="arial" w:cs="arial"/>
          <w:color w:val="000000"/>
          <w:sz w:val="20"/>
          <w:lang w:val="en-US" w:eastAsia="en-US" w:bidi="ar-SA"/>
        </w:rPr>
        <w:t xml:space="preserve"> is therefore a seminal decision about the constitutional law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and its ramifications within U.S. borders greatly exceed its effects overseas.</w:t>
      </w:r>
      <w:r>
        <w:rPr>
          <w:rFonts w:ascii="arial" w:eastAsia="arial" w:hAnsi="arial" w:cs="arial"/>
          <w:sz w:val="20"/>
          <w:vertAlign w:val="superscript"/>
          <w:lang w:val="en-US" w:eastAsia="en-US" w:bidi="ar-SA"/>
        </w:rPr>
        <w:footnoteReference w:customMarkFollows="1" w:id="100"/>
        <w:t xml:space="preserve">100</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circuit courts have begun to address the questions posed by the Supreme Court in </w:t>
      </w:r>
      <w:r>
        <w:rPr>
          <w:rFonts w:ascii="arial" w:eastAsia="arial" w:hAnsi="arial" w:cs="arial"/>
          <w:i/>
          <w:color w:val="000000"/>
          <w:sz w:val="20"/>
          <w:lang w:val="en-US" w:eastAsia="en-US" w:bidi="ar-SA"/>
        </w:rPr>
        <w:t>Boumediene</w:t>
      </w:r>
      <w:r>
        <w:rPr>
          <w:rFonts w:ascii="arial" w:eastAsia="arial" w:hAnsi="arial" w:cs="arial"/>
          <w:color w:val="000000"/>
          <w:sz w:val="20"/>
          <w:lang w:val="en-US" w:eastAsia="en-US" w:bidi="ar-SA"/>
        </w:rPr>
        <w:t xml:space="preserve"> as they consider whether available appellate review is an adequate substitute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in the immigration context. Most courts that reach the question continue to conclude that review by a court of appeals is sufficient to avoid violation of the Suspension Clause under the criteria included in </w:t>
      </w:r>
      <w:r>
        <w:rPr>
          <w:rFonts w:ascii="arial" w:eastAsia="arial" w:hAnsi="arial" w:cs="arial"/>
          <w:i/>
          <w:color w:val="000000"/>
          <w:sz w:val="20"/>
          <w:lang w:val="en-US" w:eastAsia="en-US" w:bidi="ar-SA"/>
        </w:rPr>
        <w:t>Boumediene</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01"/>
        <w:t xml:space="preserve">101</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REAL ID Act left untouched the statutory provision limiting review of expedited removal orders to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proceedings.</w:t>
      </w:r>
      <w:r>
        <w:rPr>
          <w:rFonts w:ascii="arial" w:eastAsia="arial" w:hAnsi="arial" w:cs="arial"/>
          <w:sz w:val="20"/>
          <w:vertAlign w:val="superscript"/>
          <w:lang w:val="en-US" w:eastAsia="en-US" w:bidi="ar-SA"/>
        </w:rPr>
        <w:footnoteReference w:customMarkFollows="1" w:id="102"/>
        <w:t xml:space="preserve">102</w:t>
      </w:r>
      <w:r>
        <w:rPr>
          <w:rFonts w:ascii="arial" w:eastAsia="arial" w:hAnsi="arial" w:cs="arial"/>
          <w:color w:val="000000"/>
          <w:sz w:val="20"/>
          <w:lang w:val="en-US" w:eastAsia="en-US" w:bidi="ar-SA"/>
        </w:rPr>
        <w:t xml:space="preserve"> This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is limited by statute to narrow questions of alienage.</w:t>
      </w:r>
      <w:r>
        <w:rPr>
          <w:rFonts w:ascii="arial" w:eastAsia="arial" w:hAnsi="arial" w:cs="arial"/>
          <w:sz w:val="20"/>
          <w:vertAlign w:val="superscript"/>
          <w:lang w:val="en-US" w:eastAsia="en-US" w:bidi="ar-SA"/>
        </w:rPr>
        <w:footnoteReference w:customMarkFollows="1" w:id="103"/>
        <w:t xml:space="preserve">103</w:t>
      </w:r>
      <w:r>
        <w:rPr>
          <w:rFonts w:ascii="arial" w:eastAsia="arial" w:hAnsi="arial" w:cs="arial"/>
          <w:color w:val="000000"/>
          <w:sz w:val="20"/>
          <w:lang w:val="en-US" w:eastAsia="en-US" w:bidi="ar-SA"/>
        </w:rPr>
        <w:t xml:space="preserve"> The courts have largely upheld these limitations.</w:t>
      </w:r>
      <w:r>
        <w:rPr>
          <w:rFonts w:ascii="arial" w:eastAsia="arial" w:hAnsi="arial" w:cs="arial"/>
          <w:sz w:val="20"/>
          <w:vertAlign w:val="superscript"/>
          <w:lang w:val="en-US" w:eastAsia="en-US" w:bidi="ar-SA"/>
        </w:rPr>
        <w:footnoteReference w:customMarkFollows="1" w:id="104"/>
        <w:t xml:space="preserve">104</w:t>
      </w:r>
    </w:p>
    <w:p>
      <w:pPr>
        <w:rPr>
          <w:rFonts w:ascii="arial" w:eastAsia="arial" w:hAnsi="arial" w:cs="arial"/>
          <w:sz w:val="20"/>
          <w:lang w:val="en-US" w:eastAsia="en-US" w:bidi="ar-SA"/>
        </w:rPr>
      </w:pPr>
      <w:bookmarkStart w:id="43" w:name="Bookmark_TAADAAE"/>
      <w:bookmarkEnd w:id="43"/>
      <w:bookmarkStart w:id="44" w:name="Bookmark__3_d"/>
      <w:bookmarkEnd w:id="44"/>
    </w:p>
    <w:p>
      <w:pPr>
        <w:numPr>
          <w:numId w:val="28"/>
        </w:numPr>
        <w:spacing w:before="120" w:line="260" w:lineRule="atLeast"/>
        <w:jc w:val="both"/>
        <w:rPr>
          <w:rFonts w:ascii="arial" w:eastAsia="arial" w:hAnsi="arial" w:cs="arial"/>
          <w:sz w:val="20"/>
          <w:lang w:val="en-US" w:eastAsia="en-US" w:bidi="ar-SA"/>
        </w:rPr>
      </w:pP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Review of Immigration Detention</w:t>
      </w:r>
      <w:r>
        <w:rPr>
          <w:rFonts w:ascii="arial" w:eastAsia="arial" w:hAnsi="arial" w:cs="arial"/>
          <w:sz w:val="20"/>
          <w:vertAlign w:val="superscript"/>
          <w:lang w:val="en-US" w:eastAsia="en-US" w:bidi="ar-SA"/>
        </w:rPr>
        <w:footnoteReference w:customMarkFollows="1" w:id="105"/>
        <w:t xml:space="preserve">105</w:t>
      </w:r>
    </w:p>
    <w:p>
      <w:pPr>
        <w:rPr>
          <w:rFonts w:ascii="arial" w:eastAsia="arial" w:hAnsi="arial" w:cs="arial"/>
          <w:sz w:val="20"/>
          <w:lang w:val="en-US" w:eastAsia="en-US" w:bidi="ar-SA"/>
        </w:rPr>
      </w:pPr>
      <w:bookmarkStart w:id="45" w:name="Bookmark_TAADAAEAAB"/>
      <w:bookmarkEnd w:id="45"/>
      <w:bookmarkStart w:id="46" w:name="Bookmark__3_d_i"/>
      <w:bookmarkEnd w:id="46"/>
    </w:p>
    <w:p>
      <w:pPr>
        <w:numPr>
          <w:numId w:val="2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traditionally has been the fundamental instrument for safeguarding individual freedom against arbitrary and lawless detention.</w:t>
      </w:r>
      <w:r>
        <w:rPr>
          <w:rFonts w:ascii="arial" w:eastAsia="arial" w:hAnsi="arial" w:cs="arial"/>
          <w:sz w:val="20"/>
          <w:vertAlign w:val="superscript"/>
          <w:lang w:val="en-US" w:eastAsia="en-US" w:bidi="ar-SA"/>
        </w:rPr>
        <w:footnoteReference w:customMarkFollows="1" w:id="106"/>
        <w:t xml:space="preserve">106</w:t>
      </w:r>
      <w:r>
        <w:rPr>
          <w:rFonts w:ascii="arial" w:eastAsia="arial" w:hAnsi="arial" w:cs="arial"/>
          <w:color w:val="000000"/>
          <w:sz w:val="20"/>
          <w:lang w:val="en-US" w:eastAsia="en-US" w:bidi="ar-SA"/>
        </w:rPr>
        <w:t xml:space="preserve"> The historical objective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jurisdiction, in fact, has been to provide a last resort for prisoners to challenge the constitutionality of their detentions.</w:t>
      </w:r>
      <w:r>
        <w:rPr>
          <w:rFonts w:ascii="arial" w:eastAsia="arial" w:hAnsi="arial" w:cs="arial"/>
          <w:sz w:val="20"/>
          <w:vertAlign w:val="superscript"/>
          <w:lang w:val="en-US" w:eastAsia="en-US" w:bidi="ar-SA"/>
        </w:rPr>
        <w:footnoteReference w:customMarkFollows="1" w:id="107"/>
        <w:t xml:space="preserve">107</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general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statute—</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—provides district courts with authority to grant a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if the petitioner “is in custody under or by color of the authority of the United States” or “is in custody in violation of the Constitution or laws or treaties of the United States.”</w:t>
      </w:r>
      <w:r>
        <w:rPr>
          <w:rFonts w:ascii="arial" w:eastAsia="arial" w:hAnsi="arial" w:cs="arial"/>
          <w:sz w:val="20"/>
          <w:vertAlign w:val="superscript"/>
          <w:lang w:val="en-US" w:eastAsia="en-US" w:bidi="ar-SA"/>
        </w:rPr>
        <w:footnoteReference w:customMarkFollows="1" w:id="108"/>
        <w:t xml:space="preserve">108</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IIRAIRA made significant changes to the INS’s authority to detain and to the power of courts to review some of the Attorney General’s actions and decisions related to immigration detention. Specifically, § 303 of the IIRAIRA amended </w:t>
      </w:r>
      <w:hyperlink r:id="rId25" w:history="1">
        <w:r>
          <w:rPr>
            <w:rFonts w:ascii="arial" w:eastAsia="arial" w:hAnsi="arial" w:cs="arial"/>
            <w:i/>
            <w:color w:val="0077CC"/>
            <w:sz w:val="20"/>
            <w:u w:val="single"/>
            <w:shd w:val="clear" w:color="auto" w:fill="FFFFFF"/>
            <w:lang w:val="en-US" w:eastAsia="en-US" w:bidi="ar-SA"/>
          </w:rPr>
          <w:t>INA § 236, 8 U.S.C. § 1226,</w:t>
        </w:r>
      </w:hyperlink>
      <w:r>
        <w:rPr>
          <w:rFonts w:ascii="arial" w:eastAsia="arial" w:hAnsi="arial" w:cs="arial"/>
          <w:color w:val="000000"/>
          <w:sz w:val="20"/>
          <w:lang w:val="en-US" w:eastAsia="en-US" w:bidi="ar-SA"/>
        </w:rPr>
        <w:t xml:space="preserve"> concerning detention. </w:t>
      </w:r>
      <w:hyperlink r:id="rId25" w:history="1">
        <w:r>
          <w:rPr>
            <w:rFonts w:ascii="arial" w:eastAsia="arial" w:hAnsi="arial" w:cs="arial"/>
            <w:i/>
            <w:color w:val="0077CC"/>
            <w:sz w:val="20"/>
            <w:u w:val="single"/>
            <w:shd w:val="clear" w:color="auto" w:fill="FFFFFF"/>
            <w:lang w:val="en-US" w:eastAsia="en-US" w:bidi="ar-SA"/>
          </w:rPr>
          <w:t>INA § 236(c)</w:t>
        </w:r>
      </w:hyperlink>
      <w:r>
        <w:rPr>
          <w:rFonts w:ascii="arial" w:eastAsia="arial" w:hAnsi="arial" w:cs="arial"/>
          <w:color w:val="000000"/>
          <w:sz w:val="20"/>
          <w:lang w:val="en-US" w:eastAsia="en-US" w:bidi="ar-SA"/>
        </w:rPr>
        <w:t xml:space="preserve"> mandates the Attorney General to take into custody enumerated classes of noncitizens and to release them from immigration detention only in limited circumstances. </w:t>
      </w:r>
      <w:hyperlink r:id="rId25" w:history="1">
        <w:r>
          <w:rPr>
            <w:rFonts w:ascii="arial" w:eastAsia="arial" w:hAnsi="arial" w:cs="arial"/>
            <w:i/>
            <w:color w:val="0077CC"/>
            <w:sz w:val="20"/>
            <w:u w:val="single"/>
            <w:shd w:val="clear" w:color="auto" w:fill="FFFFFF"/>
            <w:lang w:val="en-US" w:eastAsia="en-US" w:bidi="ar-SA"/>
          </w:rPr>
          <w:t>INA § 236(e)</w:t>
        </w:r>
      </w:hyperlink>
      <w:r>
        <w:rPr>
          <w:rFonts w:ascii="arial" w:eastAsia="arial" w:hAnsi="arial" w:cs="arial"/>
          <w:color w:val="000000"/>
          <w:sz w:val="20"/>
          <w:lang w:val="en-US" w:eastAsia="en-US" w:bidi="ar-SA"/>
        </w:rPr>
        <w:t xml:space="preserve"> provides that “the Attorney General’s discretionary judgment regarding application [of § 236] shall not be subject to review.” It further provides that “no court may set aside any action or decision” by the Attorney General under </w:t>
      </w:r>
      <w:hyperlink r:id="rId25" w:history="1">
        <w:r>
          <w:rPr>
            <w:rFonts w:ascii="arial" w:eastAsia="arial" w:hAnsi="arial" w:cs="arial"/>
            <w:i/>
            <w:color w:val="0077CC"/>
            <w:sz w:val="20"/>
            <w:u w:val="single"/>
            <w:shd w:val="clear" w:color="auto" w:fill="FFFFFF"/>
            <w:lang w:val="en-US" w:eastAsia="en-US" w:bidi="ar-SA"/>
          </w:rPr>
          <w:t>INA § 236</w:t>
        </w:r>
      </w:hyperlink>
      <w:r>
        <w:rPr>
          <w:rFonts w:ascii="arial" w:eastAsia="arial" w:hAnsi="arial" w:cs="arial"/>
          <w:color w:val="000000"/>
          <w:sz w:val="20"/>
          <w:lang w:val="en-US" w:eastAsia="en-US" w:bidi="ar-SA"/>
        </w:rPr>
        <w:t xml:space="preserve"> “regarding the detention or release of any alien or the grant, revocation, or denial of bond or parole.”</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Notwithstanding the broad language of </w:t>
      </w:r>
      <w:hyperlink r:id="rId25" w:history="1">
        <w:r>
          <w:rPr>
            <w:rFonts w:ascii="arial" w:eastAsia="arial" w:hAnsi="arial" w:cs="arial"/>
            <w:i/>
            <w:color w:val="0077CC"/>
            <w:sz w:val="20"/>
            <w:u w:val="single"/>
            <w:shd w:val="clear" w:color="auto" w:fill="FFFFFF"/>
            <w:lang w:val="en-US" w:eastAsia="en-US" w:bidi="ar-SA"/>
          </w:rPr>
          <w:t>INA § 236(e)</w:t>
        </w:r>
      </w:hyperlink>
      <w:r>
        <w:rPr>
          <w:rFonts w:ascii="arial" w:eastAsia="arial" w:hAnsi="arial" w:cs="arial"/>
          <w:color w:val="000000"/>
          <w:sz w:val="20"/>
          <w:lang w:val="en-US" w:eastAsia="en-US" w:bidi="ar-SA"/>
        </w:rPr>
        <w:t xml:space="preserve"> and the overall restrictions included in </w:t>
      </w:r>
      <w:hyperlink r:id="rId22" w:history="1">
        <w:r>
          <w:rPr>
            <w:rFonts w:ascii="arial" w:eastAsia="arial" w:hAnsi="arial" w:cs="arial"/>
            <w:i/>
            <w:color w:val="0077CC"/>
            <w:sz w:val="20"/>
            <w:u w:val="single"/>
            <w:shd w:val="clear" w:color="auto" w:fill="FFFFFF"/>
            <w:lang w:val="en-US" w:eastAsia="en-US" w:bidi="ar-SA"/>
          </w:rPr>
          <w:t>INA § 242(g)</w:t>
        </w:r>
      </w:hyperlink>
      <w:r>
        <w:rPr>
          <w:rFonts w:ascii="arial" w:eastAsia="arial" w:hAnsi="arial" w:cs="arial"/>
          <w:color w:val="000000"/>
          <w:sz w:val="20"/>
          <w:lang w:val="en-US" w:eastAsia="en-US" w:bidi="ar-SA"/>
        </w:rPr>
        <w:t xml:space="preserve">, most of the courts to address this issue between 1996 and 2005, including the Supreme Court, held that the federal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statute, § 2241, survived the IIRAIRA’s judicial-review preclusions and continued to provide jurisdiction in detention-related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actions.</w:t>
      </w:r>
      <w:r>
        <w:rPr>
          <w:rFonts w:ascii="arial" w:eastAsia="arial" w:hAnsi="arial" w:cs="arial"/>
          <w:sz w:val="20"/>
          <w:vertAlign w:val="superscript"/>
          <w:lang w:val="en-US" w:eastAsia="en-US" w:bidi="ar-SA"/>
        </w:rPr>
        <w:footnoteReference w:customMarkFollows="1" w:id="109"/>
        <w:t xml:space="preserve">109</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REAL ID Act of 2005 explicitly eliminated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of final orders of removal, including review under § 2241, and channeled all review of removal orders to the courts of appeals. However, the legislative history of the Act made clear that Congress intended to preserve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of immigration detention.</w:t>
      </w:r>
      <w:r>
        <w:rPr>
          <w:rFonts w:ascii="arial" w:eastAsia="arial" w:hAnsi="arial" w:cs="arial"/>
          <w:sz w:val="20"/>
          <w:vertAlign w:val="superscript"/>
          <w:lang w:val="en-US" w:eastAsia="en-US" w:bidi="ar-SA"/>
        </w:rPr>
        <w:footnoteReference w:customMarkFollows="1" w:id="110"/>
        <w:t xml:space="preserve">110</w:t>
      </w:r>
    </w:p>
    <w:p>
      <w:pPr>
        <w:rPr>
          <w:rFonts w:ascii="arial" w:eastAsia="arial" w:hAnsi="arial" w:cs="arial"/>
          <w:sz w:val="20"/>
          <w:lang w:val="en-US" w:eastAsia="en-US" w:bidi="ar-SA"/>
        </w:rPr>
      </w:pPr>
      <w:bookmarkStart w:id="47" w:name="Bookmark_TAADAAEAAC"/>
      <w:bookmarkEnd w:id="47"/>
      <w:bookmarkStart w:id="48" w:name="Bookmark__3_d_ii"/>
      <w:bookmarkEnd w:id="48"/>
    </w:p>
    <w:p>
      <w:pPr>
        <w:numPr>
          <w:numId w:val="30"/>
        </w:numPr>
        <w:spacing w:before="120" w:line="260" w:lineRule="atLeast"/>
        <w:jc w:val="both"/>
        <w:rPr>
          <w:rFonts w:ascii="arial" w:eastAsia="arial" w:hAnsi="arial" w:cs="arial"/>
          <w:sz w:val="20"/>
          <w:lang w:val="en-US" w:eastAsia="en-US" w:bidi="ar-SA"/>
        </w:rPr>
      </w:pP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Review of Detention Pending Removal</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question of when a challenge to detention is independent of a challenge to a removal order is often a complex one, as detention and removal are inextricably intertwined in the immigration context. The courts continue to address these complexities as they decide whether they have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 to review challenges to detention.</w:t>
      </w:r>
      <w:r>
        <w:rPr>
          <w:rFonts w:ascii="arial" w:eastAsia="arial" w:hAnsi="arial" w:cs="arial"/>
          <w:sz w:val="20"/>
          <w:vertAlign w:val="superscript"/>
          <w:lang w:val="en-US" w:eastAsia="en-US" w:bidi="ar-SA"/>
        </w:rPr>
        <w:footnoteReference w:customMarkFollows="1" w:id="111"/>
        <w:t xml:space="preserve">111</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Ninth Circuit emphasized in </w:t>
      </w:r>
      <w:r>
        <w:rPr>
          <w:rFonts w:ascii="arial" w:eastAsia="arial" w:hAnsi="arial" w:cs="arial"/>
          <w:i/>
          <w:color w:val="000000"/>
          <w:sz w:val="20"/>
          <w:lang w:val="en-US" w:eastAsia="en-US" w:bidi="ar-SA"/>
        </w:rPr>
        <w:t>Singh v. Holder</w:t>
      </w:r>
      <w:r>
        <w:rPr>
          <w:rFonts w:ascii="arial" w:eastAsia="arial" w:hAnsi="arial" w:cs="arial"/>
          <w:color w:val="000000"/>
          <w:sz w:val="20"/>
          <w:lang w:val="en-US" w:eastAsia="en-US" w:bidi="ar-SA"/>
        </w:rPr>
        <w:t xml:space="preserve"> that “determining when the REAL ID Act preempts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 requires a case-by-case inquiry turning on a practical analysis. …”</w:t>
      </w:r>
      <w:r>
        <w:rPr>
          <w:rFonts w:ascii="arial" w:eastAsia="arial" w:hAnsi="arial" w:cs="arial"/>
          <w:sz w:val="20"/>
          <w:vertAlign w:val="superscript"/>
          <w:lang w:val="en-US" w:eastAsia="en-US" w:bidi="ar-SA"/>
        </w:rPr>
        <w:footnoteReference w:customMarkFollows="1" w:id="112"/>
        <w:t xml:space="preserve">112</w:t>
      </w:r>
      <w:r>
        <w:rPr>
          <w:rFonts w:ascii="arial" w:eastAsia="arial" w:hAnsi="arial" w:cs="arial"/>
          <w:color w:val="000000"/>
          <w:sz w:val="20"/>
          <w:lang w:val="en-US" w:eastAsia="en-US" w:bidi="ar-SA"/>
        </w:rPr>
        <w:t xml:space="preserve"> The court cited several circumstances where “an alien subject to an order of a removal can properly challenge his immigration detention in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without unduly implicating the order of removal.”</w:t>
      </w:r>
      <w:r>
        <w:rPr>
          <w:rFonts w:ascii="arial" w:eastAsia="arial" w:hAnsi="arial" w:cs="arial"/>
          <w:sz w:val="20"/>
          <w:vertAlign w:val="superscript"/>
          <w:lang w:val="en-US" w:eastAsia="en-US" w:bidi="ar-SA"/>
        </w:rPr>
        <w:footnoteReference w:customMarkFollows="1" w:id="113"/>
        <w:t xml:space="preserve">113</w:t>
      </w:r>
      <w:r>
        <w:rPr>
          <w:rFonts w:ascii="arial" w:eastAsia="arial" w:hAnsi="arial" w:cs="arial"/>
          <w:color w:val="000000"/>
          <w:sz w:val="20"/>
          <w:lang w:val="en-US" w:eastAsia="en-US" w:bidi="ar-SA"/>
        </w:rPr>
        <w:t xml:space="preserve"> In each of the cited cases, the court noted that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challenge to detention had a basis independent of the merits of the petition for review.”</w:t>
      </w:r>
      <w:r>
        <w:rPr>
          <w:rFonts w:ascii="arial" w:eastAsia="arial" w:hAnsi="arial" w:cs="arial"/>
          <w:sz w:val="20"/>
          <w:vertAlign w:val="superscript"/>
          <w:lang w:val="en-US" w:eastAsia="en-US" w:bidi="ar-SA"/>
        </w:rPr>
        <w:footnoteReference w:customMarkFollows="1" w:id="114"/>
        <w:t xml:space="preserve">114</w:t>
      </w:r>
    </w:p>
    <w:p>
      <w:pPr>
        <w:rPr>
          <w:rFonts w:ascii="arial" w:eastAsia="arial" w:hAnsi="arial" w:cs="arial"/>
          <w:sz w:val="20"/>
          <w:lang w:val="en-US" w:eastAsia="en-US" w:bidi="ar-SA"/>
        </w:rPr>
      </w:pPr>
      <w:bookmarkStart w:id="49" w:name="Bookmark_TAADAAEAAD"/>
      <w:bookmarkEnd w:id="49"/>
      <w:bookmarkStart w:id="50" w:name="Bookmark__3_d_iii"/>
      <w:bookmarkEnd w:id="50"/>
    </w:p>
    <w:p>
      <w:pPr>
        <w:numPr>
          <w:numId w:val="31"/>
        </w:numPr>
        <w:spacing w:before="120" w:line="260" w:lineRule="atLeast"/>
        <w:jc w:val="both"/>
        <w:rPr>
          <w:rFonts w:ascii="arial" w:eastAsia="arial" w:hAnsi="arial" w:cs="arial"/>
          <w:sz w:val="20"/>
          <w:lang w:val="en-US" w:eastAsia="en-US" w:bidi="ar-SA"/>
        </w:rPr>
      </w:pP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Review of Mandatory Detention</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Supreme Court ruled in </w:t>
      </w:r>
      <w:r>
        <w:rPr>
          <w:rFonts w:ascii="arial" w:eastAsia="arial" w:hAnsi="arial" w:cs="arial"/>
          <w:i/>
          <w:color w:val="000000"/>
          <w:sz w:val="20"/>
          <w:lang w:val="en-US" w:eastAsia="en-US" w:bidi="ar-SA"/>
        </w:rPr>
        <w:t>Demore v. Kim</w:t>
      </w:r>
      <w:r>
        <w:rPr>
          <w:rFonts w:ascii="arial" w:eastAsia="arial" w:hAnsi="arial" w:cs="arial"/>
          <w:sz w:val="20"/>
          <w:vertAlign w:val="superscript"/>
          <w:lang w:val="en-US" w:eastAsia="en-US" w:bidi="ar-SA"/>
        </w:rPr>
        <w:footnoteReference w:customMarkFollows="1" w:id="115"/>
        <w:t xml:space="preserve">115</w:t>
      </w:r>
      <w:r>
        <w:rPr>
          <w:rFonts w:ascii="arial" w:eastAsia="arial" w:hAnsi="arial" w:cs="arial"/>
          <w:color w:val="000000"/>
          <w:sz w:val="20"/>
          <w:lang w:val="en-US" w:eastAsia="en-US" w:bidi="ar-SA"/>
        </w:rPr>
        <w:t xml:space="preserve"> that </w:t>
      </w:r>
      <w:hyperlink r:id="rId25" w:history="1">
        <w:r>
          <w:rPr>
            <w:rFonts w:ascii="arial" w:eastAsia="arial" w:hAnsi="arial" w:cs="arial"/>
            <w:i/>
            <w:color w:val="0077CC"/>
            <w:sz w:val="20"/>
            <w:u w:val="single"/>
            <w:shd w:val="clear" w:color="auto" w:fill="FFFFFF"/>
            <w:lang w:val="en-US" w:eastAsia="en-US" w:bidi="ar-SA"/>
          </w:rPr>
          <w:t>INA § 236(e)</w:t>
        </w:r>
      </w:hyperlink>
      <w:r>
        <w:rPr>
          <w:rFonts w:ascii="arial" w:eastAsia="arial" w:hAnsi="arial" w:cs="arial"/>
          <w:color w:val="000000"/>
          <w:sz w:val="20"/>
          <w:lang w:val="en-US" w:eastAsia="en-US" w:bidi="ar-SA"/>
        </w:rPr>
        <w:t xml:space="preserve"> does not bar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of constitutional challenges to the mandatory detention provisions of </w:t>
      </w:r>
      <w:hyperlink r:id="rId25" w:history="1">
        <w:r>
          <w:rPr>
            <w:rFonts w:ascii="arial" w:eastAsia="arial" w:hAnsi="arial" w:cs="arial"/>
            <w:i/>
            <w:color w:val="0077CC"/>
            <w:sz w:val="20"/>
            <w:u w:val="single"/>
            <w:shd w:val="clear" w:color="auto" w:fill="FFFFFF"/>
            <w:lang w:val="en-US" w:eastAsia="en-US" w:bidi="ar-SA"/>
          </w:rPr>
          <w:t>INA § 236(c)</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16"/>
        <w:t xml:space="preserve">116</w:t>
      </w:r>
      <w:r>
        <w:rPr>
          <w:rFonts w:ascii="arial" w:eastAsia="arial" w:hAnsi="arial" w:cs="arial"/>
          <w:color w:val="000000"/>
          <w:sz w:val="20"/>
          <w:lang w:val="en-US" w:eastAsia="en-US" w:bidi="ar-SA"/>
        </w:rPr>
        <w:t xml:space="preserve"> The ruling applied the Court’s earlier holding in </w:t>
      </w:r>
      <w:r>
        <w:rPr>
          <w:rFonts w:ascii="arial" w:eastAsia="arial" w:hAnsi="arial" w:cs="arial"/>
          <w:i/>
          <w:color w:val="000000"/>
          <w:sz w:val="20"/>
          <w:lang w:val="en-US" w:eastAsia="en-US" w:bidi="ar-SA"/>
        </w:rPr>
        <w:t>INS v. St. Cyr</w:t>
      </w:r>
      <w:r>
        <w:rPr>
          <w:rFonts w:ascii="arial" w:eastAsia="arial" w:hAnsi="arial" w:cs="arial"/>
          <w:color w:val="000000"/>
          <w:sz w:val="20"/>
          <w:lang w:val="en-US" w:eastAsia="en-US" w:bidi="ar-SA"/>
        </w:rPr>
        <w:t xml:space="preserve">, that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statute still stands in the absence of clear congressional intent to repeal it, to the language of </w:t>
      </w:r>
      <w:hyperlink r:id="rId25" w:history="1">
        <w:r>
          <w:rPr>
            <w:rFonts w:ascii="arial" w:eastAsia="arial" w:hAnsi="arial" w:cs="arial"/>
            <w:i/>
            <w:color w:val="0077CC"/>
            <w:sz w:val="20"/>
            <w:u w:val="single"/>
            <w:shd w:val="clear" w:color="auto" w:fill="FFFFFF"/>
            <w:lang w:val="en-US" w:eastAsia="en-US" w:bidi="ar-SA"/>
          </w:rPr>
          <w:t>INA § 236(e)</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17"/>
        <w:t xml:space="preserve">117</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respondent in </w:t>
      </w:r>
      <w:r>
        <w:rPr>
          <w:rFonts w:ascii="arial" w:eastAsia="arial" w:hAnsi="arial" w:cs="arial"/>
          <w:i/>
          <w:color w:val="000000"/>
          <w:sz w:val="20"/>
          <w:lang w:val="en-US" w:eastAsia="en-US" w:bidi="ar-SA"/>
        </w:rPr>
        <w:t>Demore</w:t>
      </w:r>
      <w:r>
        <w:rPr>
          <w:rFonts w:ascii="arial" w:eastAsia="arial" w:hAnsi="arial" w:cs="arial"/>
          <w:color w:val="000000"/>
          <w:sz w:val="20"/>
          <w:lang w:val="en-US" w:eastAsia="en-US" w:bidi="ar-SA"/>
        </w:rPr>
        <w:t xml:space="preserve"> sought unsuccessfully to show that mandatory detention of a permanent resident without an individualized bail hearing violated his due process rights.</w:t>
      </w:r>
      <w:r>
        <w:rPr>
          <w:rFonts w:ascii="arial" w:eastAsia="arial" w:hAnsi="arial" w:cs="arial"/>
          <w:sz w:val="20"/>
          <w:vertAlign w:val="superscript"/>
          <w:lang w:val="en-US" w:eastAsia="en-US" w:bidi="ar-SA"/>
        </w:rPr>
        <w:footnoteReference w:customMarkFollows="1" w:id="118"/>
        <w:t xml:space="preserve">118</w:t>
      </w:r>
      <w:r>
        <w:rPr>
          <w:rFonts w:ascii="arial" w:eastAsia="arial" w:hAnsi="arial" w:cs="arial"/>
          <w:color w:val="000000"/>
          <w:sz w:val="20"/>
          <w:lang w:val="en-US" w:eastAsia="en-US" w:bidi="ar-SA"/>
        </w:rPr>
        <w:t xml:space="preserve"> The Court ruled that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was the proper means of challenging the provisions of </w:t>
      </w:r>
      <w:hyperlink r:id="rId25" w:history="1">
        <w:r>
          <w:rPr>
            <w:rFonts w:ascii="arial" w:eastAsia="arial" w:hAnsi="arial" w:cs="arial"/>
            <w:i/>
            <w:color w:val="0077CC"/>
            <w:sz w:val="20"/>
            <w:u w:val="single"/>
            <w:shd w:val="clear" w:color="auto" w:fill="FFFFFF"/>
            <w:lang w:val="en-US" w:eastAsia="en-US" w:bidi="ar-SA"/>
          </w:rPr>
          <w:t>INA § 236(c)</w:t>
        </w:r>
      </w:hyperlink>
      <w:r>
        <w:rPr>
          <w:rFonts w:ascii="arial" w:eastAsia="arial" w:hAnsi="arial" w:cs="arial"/>
          <w:color w:val="000000"/>
          <w:sz w:val="20"/>
          <w:lang w:val="en-US" w:eastAsia="en-US" w:bidi="ar-SA"/>
        </w:rPr>
        <w:t xml:space="preserve"> because the respondent “does not challenge a ‘discretionary judgment’ by the Attorney General or a ‘decision’ that the Attorney General has made regarding his detention or release. Rather, respondent challenges the statutory framework that permits his detention without bail.”</w:t>
      </w:r>
      <w:r>
        <w:rPr>
          <w:rFonts w:ascii="arial" w:eastAsia="arial" w:hAnsi="arial" w:cs="arial"/>
          <w:sz w:val="20"/>
          <w:vertAlign w:val="superscript"/>
          <w:lang w:val="en-US" w:eastAsia="en-US" w:bidi="ar-SA"/>
        </w:rPr>
        <w:footnoteReference w:customMarkFollows="1" w:id="119"/>
        <w:t xml:space="preserve">119</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the Supreme Court has not addressed the scope of the </w:t>
      </w:r>
      <w:hyperlink r:id="rId22" w:history="1">
        <w:r>
          <w:rPr>
            <w:rFonts w:ascii="arial" w:eastAsia="arial" w:hAnsi="arial" w:cs="arial"/>
            <w:i/>
            <w:color w:val="0077CC"/>
            <w:sz w:val="20"/>
            <w:u w:val="single"/>
            <w:shd w:val="clear" w:color="auto" w:fill="FFFFFF"/>
            <w:lang w:val="en-US" w:eastAsia="en-US" w:bidi="ar-SA"/>
          </w:rPr>
          <w:t>INA § 242(g)</w:t>
        </w:r>
      </w:hyperlink>
      <w:r>
        <w:rPr>
          <w:rFonts w:ascii="arial" w:eastAsia="arial" w:hAnsi="arial" w:cs="arial"/>
          <w:color w:val="000000"/>
          <w:sz w:val="20"/>
          <w:lang w:val="en-US" w:eastAsia="en-US" w:bidi="ar-SA"/>
        </w:rPr>
        <w:t xml:space="preserve">’s restrictive language in the context of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 that challenges the mandatory detention provisions of § 236(c), other courts have. For example, in </w:t>
      </w:r>
      <w:r>
        <w:rPr>
          <w:rFonts w:ascii="arial" w:eastAsia="arial" w:hAnsi="arial" w:cs="arial"/>
          <w:i/>
          <w:color w:val="000000"/>
          <w:sz w:val="20"/>
          <w:lang w:val="en-US" w:eastAsia="en-US" w:bidi="ar-SA"/>
        </w:rPr>
        <w:t>Parra v. Perryman</w:t>
      </w:r>
      <w:r>
        <w:rPr>
          <w:rFonts w:ascii="arial" w:eastAsia="arial" w:hAnsi="arial" w:cs="arial"/>
          <w:sz w:val="20"/>
          <w:vertAlign w:val="superscript"/>
          <w:lang w:val="en-US" w:eastAsia="en-US" w:bidi="ar-SA"/>
        </w:rPr>
        <w:footnoteReference w:customMarkFollows="1" w:id="120"/>
        <w:t xml:space="preserve">120</w:t>
      </w:r>
      <w:r>
        <w:rPr>
          <w:rFonts w:ascii="arial" w:eastAsia="arial" w:hAnsi="arial" w:cs="arial"/>
          <w:color w:val="000000"/>
          <w:sz w:val="20"/>
          <w:lang w:val="en-US" w:eastAsia="en-US" w:bidi="ar-SA"/>
        </w:rPr>
        <w:t xml:space="preserve"> the Seventh Circuit held that </w:t>
      </w:r>
      <w:hyperlink r:id="rId22" w:history="1">
        <w:r>
          <w:rPr>
            <w:rFonts w:ascii="arial" w:eastAsia="arial" w:hAnsi="arial" w:cs="arial"/>
            <w:i/>
            <w:color w:val="0077CC"/>
            <w:sz w:val="20"/>
            <w:u w:val="single"/>
            <w:shd w:val="clear" w:color="auto" w:fill="FFFFFF"/>
            <w:lang w:val="en-US" w:eastAsia="en-US" w:bidi="ar-SA"/>
          </w:rPr>
          <w:t>INA § 242(g)</w:t>
        </w:r>
      </w:hyperlink>
      <w:r>
        <w:rPr>
          <w:rFonts w:ascii="arial" w:eastAsia="arial" w:hAnsi="arial" w:cs="arial"/>
          <w:color w:val="000000"/>
          <w:sz w:val="20"/>
          <w:lang w:val="en-US" w:eastAsia="en-US" w:bidi="ar-SA"/>
        </w:rPr>
        <w:t xml:space="preserve"> did not preclude a challenge to detention under </w:t>
      </w:r>
      <w:hyperlink r:id="rId25" w:history="1">
        <w:r>
          <w:rPr>
            <w:rFonts w:ascii="arial" w:eastAsia="arial" w:hAnsi="arial" w:cs="arial"/>
            <w:i/>
            <w:color w:val="0077CC"/>
            <w:sz w:val="20"/>
            <w:u w:val="single"/>
            <w:shd w:val="clear" w:color="auto" w:fill="FFFFFF"/>
            <w:lang w:val="en-US" w:eastAsia="en-US" w:bidi="ar-SA"/>
          </w:rPr>
          <w:t>INA § 236(c)</w:t>
        </w:r>
      </w:hyperlink>
      <w:r>
        <w:rPr>
          <w:rFonts w:ascii="arial" w:eastAsia="arial" w:hAnsi="arial" w:cs="arial"/>
          <w:color w:val="000000"/>
          <w:sz w:val="20"/>
          <w:lang w:val="en-US" w:eastAsia="en-US" w:bidi="ar-SA"/>
        </w:rPr>
        <w:t xml:space="preserve"> because Parra did not ask the district court to block a decision to “commence proceedings, adjudicate cases, or execute removal orders.” Those are the three discrete actions or decisions to which § 242(g) applies, the Supreme Court held in </w:t>
      </w:r>
      <w:r>
        <w:rPr>
          <w:rFonts w:ascii="arial" w:eastAsia="arial" w:hAnsi="arial" w:cs="arial"/>
          <w:i/>
          <w:color w:val="000000"/>
          <w:sz w:val="20"/>
          <w:lang w:val="en-US" w:eastAsia="en-US" w:bidi="ar-SA"/>
        </w:rPr>
        <w:t>Reno v. American-Arab Anti-Discrimination Committee (AADC)</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21"/>
        <w:t xml:space="preserve">121</w:t>
      </w:r>
      <w:r>
        <w:rPr>
          <w:rFonts w:ascii="arial" w:eastAsia="arial" w:hAnsi="arial" w:cs="arial"/>
          <w:color w:val="000000"/>
          <w:sz w:val="20"/>
          <w:lang w:val="en-US" w:eastAsia="en-US" w:bidi="ar-SA"/>
        </w:rPr>
        <w:t xml:space="preserve"> Parra’s claim “concerns detention while the administrative process lasts, and it may be resolved without affecting pending proceedings.”</w:t>
      </w:r>
      <w:r>
        <w:rPr>
          <w:rFonts w:ascii="arial" w:eastAsia="arial" w:hAnsi="arial" w:cs="arial"/>
          <w:sz w:val="20"/>
          <w:vertAlign w:val="superscript"/>
          <w:lang w:val="en-US" w:eastAsia="en-US" w:bidi="ar-SA"/>
        </w:rPr>
        <w:footnoteReference w:customMarkFollows="1" w:id="122"/>
        <w:t xml:space="preserve">122</w:t>
      </w:r>
    </w:p>
    <w:p>
      <w:pPr>
        <w:rPr>
          <w:rFonts w:ascii="arial" w:eastAsia="arial" w:hAnsi="arial" w:cs="arial"/>
          <w:sz w:val="20"/>
          <w:lang w:val="en-US" w:eastAsia="en-US" w:bidi="ar-SA"/>
        </w:rPr>
      </w:pPr>
      <w:bookmarkStart w:id="51" w:name="Bookmark_TAADAAEAAE"/>
      <w:bookmarkEnd w:id="51"/>
      <w:bookmarkStart w:id="52" w:name="Bookmark__3_d_iv"/>
      <w:bookmarkEnd w:id="52"/>
    </w:p>
    <w:p>
      <w:pPr>
        <w:numPr>
          <w:numId w:val="32"/>
        </w:numPr>
        <w:spacing w:before="120" w:line="260" w:lineRule="atLeast"/>
        <w:jc w:val="both"/>
        <w:rPr>
          <w:rFonts w:ascii="arial" w:eastAsia="arial" w:hAnsi="arial" w:cs="arial"/>
          <w:sz w:val="20"/>
          <w:lang w:val="en-US" w:eastAsia="en-US" w:bidi="ar-SA"/>
        </w:rPr>
      </w:pP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Review of Indefinite Detention</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Noncitizens held in indefinite detention presumably are being held subsequent to issuance of a final order of removal.</w:t>
      </w:r>
      <w:r>
        <w:rPr>
          <w:rFonts w:ascii="arial" w:eastAsia="arial" w:hAnsi="arial" w:cs="arial"/>
          <w:sz w:val="20"/>
          <w:vertAlign w:val="superscript"/>
          <w:lang w:val="en-US" w:eastAsia="en-US" w:bidi="ar-SA"/>
        </w:rPr>
        <w:footnoteReference w:customMarkFollows="1" w:id="123"/>
        <w:t xml:space="preserve">123</w:t>
      </w:r>
      <w:r>
        <w:rPr>
          <w:rFonts w:ascii="arial" w:eastAsia="arial" w:hAnsi="arial" w:cs="arial"/>
          <w:color w:val="000000"/>
          <w:sz w:val="20"/>
          <w:lang w:val="en-US" w:eastAsia="en-US" w:bidi="ar-SA"/>
        </w:rPr>
        <w:t xml:space="preserve"> Numerous courts, including the Supreme Court, have ruled that the restrictions on judicial review wrought by the IIRAIRA do not limit the courts’ jurisdiction to hear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challenges brought by indefinitely detained noncitizens.</w:t>
      </w:r>
      <w:r>
        <w:rPr>
          <w:rFonts w:ascii="arial" w:eastAsia="arial" w:hAnsi="arial" w:cs="arial"/>
          <w:sz w:val="20"/>
          <w:vertAlign w:val="superscript"/>
          <w:lang w:val="en-US" w:eastAsia="en-US" w:bidi="ar-SA"/>
        </w:rPr>
        <w:footnoteReference w:customMarkFollows="1" w:id="124"/>
        <w:t xml:space="preserve">124</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r>
        <w:rPr>
          <w:rFonts w:ascii="arial" w:eastAsia="arial" w:hAnsi="arial" w:cs="arial"/>
          <w:i/>
          <w:color w:val="000000"/>
          <w:sz w:val="20"/>
          <w:lang w:val="en-US" w:eastAsia="en-US" w:bidi="ar-SA"/>
        </w:rPr>
        <w:t>Zadvydas v. Davis</w:t>
      </w:r>
      <w:r>
        <w:rPr>
          <w:rFonts w:ascii="arial" w:eastAsia="arial" w:hAnsi="arial" w:cs="arial"/>
          <w:color w:val="000000"/>
          <w:sz w:val="20"/>
          <w:lang w:val="en-US" w:eastAsia="en-US" w:bidi="ar-SA"/>
        </w:rPr>
        <w:t xml:space="preserve">, the Supreme Court held that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“remain available as a forum for statutory and constitutional challenges to post-removal-period detention.”</w:t>
      </w:r>
      <w:r>
        <w:rPr>
          <w:rFonts w:ascii="arial" w:eastAsia="arial" w:hAnsi="arial" w:cs="arial"/>
          <w:sz w:val="20"/>
          <w:vertAlign w:val="superscript"/>
          <w:lang w:val="en-US" w:eastAsia="en-US" w:bidi="ar-SA"/>
        </w:rPr>
        <w:footnoteReference w:customMarkFollows="1" w:id="125"/>
        <w:t xml:space="preserve">125</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Zadvydas</w:t>
      </w:r>
      <w:r>
        <w:rPr>
          <w:rFonts w:ascii="arial" w:eastAsia="arial" w:hAnsi="arial" w:cs="arial"/>
          <w:color w:val="000000"/>
          <w:sz w:val="20"/>
          <w:lang w:val="en-US" w:eastAsia="en-US" w:bidi="ar-SA"/>
        </w:rPr>
        <w:t xml:space="preserve"> limits post-final-order detention to the period during which there is a “significant likelihood” that removal will actually occur in the “reasonably foreseeable future” </w:t>
      </w:r>
      <w:r>
        <w:rPr>
          <w:rFonts w:ascii="arial" w:eastAsia="arial" w:hAnsi="arial" w:cs="arial"/>
          <w:i/>
          <w:color w:val="000000"/>
          <w:sz w:val="20"/>
          <w:lang w:val="en-US" w:eastAsia="en-US" w:bidi="ar-SA"/>
        </w:rPr>
        <w:t>and</w:t>
      </w:r>
      <w:r>
        <w:rPr>
          <w:rFonts w:ascii="arial" w:eastAsia="arial" w:hAnsi="arial" w:cs="arial"/>
          <w:color w:val="000000"/>
          <w:sz w:val="20"/>
          <w:lang w:val="en-US" w:eastAsia="en-US" w:bidi="ar-SA"/>
        </w:rPr>
        <w:t xml:space="preserve"> the noncitizen poses a flight risk.</w:t>
      </w:r>
      <w:r>
        <w:rPr>
          <w:rFonts w:ascii="arial" w:eastAsia="arial" w:hAnsi="arial" w:cs="arial"/>
          <w:sz w:val="20"/>
          <w:vertAlign w:val="superscript"/>
          <w:lang w:val="en-US" w:eastAsia="en-US" w:bidi="ar-SA"/>
        </w:rPr>
        <w:footnoteReference w:customMarkFollows="1" w:id="126"/>
        <w:t xml:space="preserve">126</w:t>
      </w:r>
      <w:r>
        <w:rPr>
          <w:rFonts w:ascii="arial" w:eastAsia="arial" w:hAnsi="arial" w:cs="arial"/>
          <w:color w:val="000000"/>
          <w:sz w:val="20"/>
          <w:lang w:val="en-US" w:eastAsia="en-US" w:bidi="ar-SA"/>
        </w:rPr>
        <w:t xml:space="preserve">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may therefore be used to challenge the reasonability of continued detention and to gain release if such detention would be contrary to </w:t>
      </w:r>
      <w:r>
        <w:rPr>
          <w:rFonts w:ascii="arial" w:eastAsia="arial" w:hAnsi="arial" w:cs="arial"/>
          <w:i/>
          <w:color w:val="000000"/>
          <w:sz w:val="20"/>
          <w:lang w:val="en-US" w:eastAsia="en-US" w:bidi="ar-SA"/>
        </w:rPr>
        <w:t>Zadvydas</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27"/>
        <w:t xml:space="preserve">127</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r>
        <w:rPr>
          <w:rFonts w:ascii="arial" w:eastAsia="arial" w:hAnsi="arial" w:cs="arial"/>
          <w:i/>
          <w:color w:val="000000"/>
          <w:sz w:val="20"/>
          <w:lang w:val="en-US" w:eastAsia="en-US" w:bidi="ar-SA"/>
        </w:rPr>
        <w:t>Clark v. Martinez</w:t>
      </w:r>
      <w:r>
        <w:rPr>
          <w:rFonts w:ascii="arial" w:eastAsia="arial" w:hAnsi="arial" w:cs="arial"/>
          <w:color w:val="000000"/>
          <w:sz w:val="20"/>
          <w:lang w:val="en-US" w:eastAsia="en-US" w:bidi="ar-SA"/>
        </w:rPr>
        <w:t xml:space="preserve">, the Court held that its ruling in </w:t>
      </w:r>
      <w:r>
        <w:rPr>
          <w:rFonts w:ascii="arial" w:eastAsia="arial" w:hAnsi="arial" w:cs="arial"/>
          <w:i/>
          <w:color w:val="000000"/>
          <w:sz w:val="20"/>
          <w:lang w:val="en-US" w:eastAsia="en-US" w:bidi="ar-SA"/>
        </w:rPr>
        <w:t>Zadvydas</w:t>
      </w:r>
      <w:r>
        <w:rPr>
          <w:rFonts w:ascii="arial" w:eastAsia="arial" w:hAnsi="arial" w:cs="arial"/>
          <w:color w:val="000000"/>
          <w:sz w:val="20"/>
          <w:lang w:val="en-US" w:eastAsia="en-US" w:bidi="ar-SA"/>
        </w:rPr>
        <w:t xml:space="preserve"> also applied to detention of persons who are inadmissible.</w:t>
      </w:r>
      <w:r>
        <w:rPr>
          <w:rFonts w:ascii="arial" w:eastAsia="arial" w:hAnsi="arial" w:cs="arial"/>
          <w:sz w:val="20"/>
          <w:vertAlign w:val="superscript"/>
          <w:lang w:val="en-US" w:eastAsia="en-US" w:bidi="ar-SA"/>
        </w:rPr>
        <w:footnoteReference w:customMarkFollows="1" w:id="128"/>
        <w:t xml:space="preserve">128</w:t>
      </w:r>
      <w:r>
        <w:rPr>
          <w:rFonts w:ascii="arial" w:eastAsia="arial" w:hAnsi="arial" w:cs="arial"/>
          <w:color w:val="000000"/>
          <w:sz w:val="20"/>
          <w:lang w:val="en-US" w:eastAsia="en-US" w:bidi="ar-SA"/>
        </w:rPr>
        <w:t xml:space="preserve"> And in </w:t>
      </w:r>
      <w:r>
        <w:rPr>
          <w:rFonts w:ascii="arial" w:eastAsia="arial" w:hAnsi="arial" w:cs="arial"/>
          <w:i/>
          <w:color w:val="000000"/>
          <w:sz w:val="20"/>
          <w:lang w:val="en-US" w:eastAsia="en-US" w:bidi="ar-SA"/>
        </w:rPr>
        <w:t>Boumediene v. Bush</w:t>
      </w:r>
      <w:r>
        <w:rPr>
          <w:rFonts w:ascii="arial" w:eastAsia="arial" w:hAnsi="arial" w:cs="arial"/>
          <w:color w:val="000000"/>
          <w:sz w:val="20"/>
          <w:lang w:val="en-US" w:eastAsia="en-US" w:bidi="ar-SA"/>
        </w:rPr>
        <w:t xml:space="preserve">, the Court further affirmed the availability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to persons detained outside of the United States.</w:t>
      </w:r>
      <w:r>
        <w:rPr>
          <w:rFonts w:ascii="arial" w:eastAsia="arial" w:hAnsi="arial" w:cs="arial"/>
          <w:sz w:val="20"/>
          <w:vertAlign w:val="superscript"/>
          <w:lang w:val="en-US" w:eastAsia="en-US" w:bidi="ar-SA"/>
        </w:rPr>
        <w:footnoteReference w:customMarkFollows="1" w:id="129"/>
        <w:t xml:space="preserve">129</w:t>
      </w:r>
    </w:p>
    <w:p>
      <w:pPr>
        <w:rPr>
          <w:rFonts w:ascii="arial" w:eastAsia="arial" w:hAnsi="arial" w:cs="arial"/>
          <w:sz w:val="20"/>
          <w:lang w:val="en-US" w:eastAsia="en-US" w:bidi="ar-SA"/>
        </w:rPr>
      </w:pPr>
      <w:bookmarkStart w:id="53" w:name="Bookmark_TAADAAEAAF"/>
      <w:bookmarkEnd w:id="53"/>
      <w:bookmarkStart w:id="54" w:name="Bookmark__3_d_v"/>
      <w:bookmarkEnd w:id="54"/>
    </w:p>
    <w:p>
      <w:pPr>
        <w:numPr>
          <w:numId w:val="33"/>
        </w:numPr>
        <w:spacing w:before="120" w:line="260" w:lineRule="atLeast"/>
        <w:jc w:val="both"/>
        <w:rPr>
          <w:rFonts w:ascii="arial" w:eastAsia="arial" w:hAnsi="arial" w:cs="arial"/>
          <w:sz w:val="20"/>
          <w:lang w:val="en-US" w:eastAsia="en-US" w:bidi="ar-SA"/>
        </w:rPr>
      </w:pP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Review of Detention of Suspected Terrorists</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mandatory detention of noncitizens certified as suspected terrorists by the Attorney General is discussed below in </w:t>
      </w:r>
      <w:hyperlink r:id="rId26" w:history="1">
        <w:r>
          <w:rPr>
            <w:rFonts w:ascii="arial" w:eastAsia="arial" w:hAnsi="arial" w:cs="arial"/>
            <w:i/>
            <w:color w:val="0077CC"/>
            <w:sz w:val="20"/>
            <w:u w:val="single"/>
            <w:shd w:val="clear" w:color="auto" w:fill="FFFFFF"/>
            <w:lang w:val="en-US" w:eastAsia="en-US" w:bidi="ar-SA"/>
          </w:rPr>
          <w:t>§ 108.02[2][d]</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30"/>
        <w:t xml:space="preserve">130</w:t>
      </w:r>
      <w:r>
        <w:rPr>
          <w:rFonts w:ascii="arial" w:eastAsia="arial" w:hAnsi="arial" w:cs="arial"/>
          <w:color w:val="000000"/>
          <w:sz w:val="20"/>
          <w:lang w:val="en-US" w:eastAsia="en-US" w:bidi="ar-SA"/>
        </w:rPr>
        <w:t xml:space="preserve"> Judicial review of such an action may be gained only through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w:t>
      </w:r>
      <w:r>
        <w:rPr>
          <w:rFonts w:ascii="arial" w:eastAsia="arial" w:hAnsi="arial" w:cs="arial"/>
          <w:sz w:val="20"/>
          <w:vertAlign w:val="superscript"/>
          <w:lang w:val="en-US" w:eastAsia="en-US" w:bidi="ar-SA"/>
        </w:rPr>
        <w:footnoteReference w:customMarkFollows="1" w:id="131"/>
        <w:t xml:space="preserve">131</w:t>
      </w:r>
      <w:r>
        <w:rPr>
          <w:rFonts w:ascii="arial" w:eastAsia="arial" w:hAnsi="arial" w:cs="arial"/>
          <w:color w:val="000000"/>
          <w:sz w:val="20"/>
          <w:lang w:val="en-US" w:eastAsia="en-US" w:bidi="ar-SA"/>
        </w:rPr>
        <w:t xml:space="preserve"> The INA allows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of both the decision to certify a noncitizen and the actual detention itself.</w:t>
      </w:r>
      <w:r>
        <w:rPr>
          <w:rFonts w:ascii="arial" w:eastAsia="arial" w:hAnsi="arial" w:cs="arial"/>
          <w:sz w:val="20"/>
          <w:vertAlign w:val="superscript"/>
          <w:lang w:val="en-US" w:eastAsia="en-US" w:bidi="ar-SA"/>
        </w:rPr>
        <w:footnoteReference w:customMarkFollows="1" w:id="132"/>
        <w:t xml:space="preserve">132</w:t>
      </w:r>
      <w:r>
        <w:rPr>
          <w:rFonts w:ascii="arial" w:eastAsia="arial" w:hAnsi="arial" w:cs="arial"/>
          <w:color w:val="000000"/>
          <w:sz w:val="20"/>
          <w:lang w:val="en-US" w:eastAsia="en-US" w:bidi="ar-SA"/>
        </w:rPr>
        <w:t xml:space="preserve">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 may be started in any district court, the U.S. Court of Appeals for the District of Columbia Circuit, or the Supreme Court.</w:t>
      </w:r>
      <w:r>
        <w:rPr>
          <w:rFonts w:ascii="arial" w:eastAsia="arial" w:hAnsi="arial" w:cs="arial"/>
          <w:sz w:val="20"/>
          <w:vertAlign w:val="superscript"/>
          <w:lang w:val="en-US" w:eastAsia="en-US" w:bidi="ar-SA"/>
        </w:rPr>
        <w:footnoteReference w:customMarkFollows="1" w:id="133"/>
        <w:t xml:space="preserve">133</w:t>
      </w:r>
      <w:r>
        <w:rPr>
          <w:rFonts w:ascii="arial" w:eastAsia="arial" w:hAnsi="arial" w:cs="arial"/>
          <w:color w:val="000000"/>
          <w:sz w:val="20"/>
          <w:lang w:val="en-US" w:eastAsia="en-US" w:bidi="ar-SA"/>
        </w:rPr>
        <w:t xml:space="preserve"> Appeals, however, are available only to the D.C. Circuit.</w:t>
      </w:r>
      <w:r>
        <w:rPr>
          <w:rFonts w:ascii="arial" w:eastAsia="arial" w:hAnsi="arial" w:cs="arial"/>
          <w:sz w:val="20"/>
          <w:vertAlign w:val="superscript"/>
          <w:lang w:val="en-US" w:eastAsia="en-US" w:bidi="ar-SA"/>
        </w:rPr>
        <w:footnoteReference w:customMarkFollows="1" w:id="134"/>
        <w:t xml:space="preserve">134</w:t>
      </w:r>
    </w:p>
    <w:p>
      <w:pPr>
        <w:rPr>
          <w:rFonts w:ascii="arial" w:eastAsia="arial" w:hAnsi="arial" w:cs="arial"/>
          <w:sz w:val="20"/>
          <w:lang w:val="en-US" w:eastAsia="en-US" w:bidi="ar-SA"/>
        </w:rPr>
      </w:pPr>
      <w:bookmarkStart w:id="55" w:name="Bookmark_TAAE"/>
      <w:bookmarkEnd w:id="55"/>
      <w:bookmarkStart w:id="56" w:name="Bookmark__4"/>
      <w:bookmarkEnd w:id="56"/>
    </w:p>
    <w:p>
      <w:pPr>
        <w:numPr>
          <w:numId w:val="34"/>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The “In Custody” Requirement</w:t>
      </w:r>
    </w:p>
    <w:p>
      <w:pPr>
        <w:rPr>
          <w:rFonts w:ascii="arial" w:eastAsia="arial" w:hAnsi="arial" w:cs="arial"/>
          <w:sz w:val="20"/>
          <w:lang w:val="en-US" w:eastAsia="en-US" w:bidi="ar-SA"/>
        </w:rPr>
      </w:pPr>
      <w:bookmarkStart w:id="57" w:name="Bookmark_TAAEAAB"/>
      <w:bookmarkEnd w:id="57"/>
      <w:bookmarkStart w:id="58" w:name="Bookmark__4_a"/>
      <w:bookmarkEnd w:id="58"/>
    </w:p>
    <w:p>
      <w:pPr>
        <w:numPr>
          <w:numId w:val="35"/>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a court to have jurisdiction over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claim, the petitioner must be in the “custody” of the federal immigration agency.</w:t>
      </w:r>
      <w:r>
        <w:rPr>
          <w:rFonts w:ascii="arial" w:eastAsia="arial" w:hAnsi="arial" w:cs="arial"/>
          <w:sz w:val="20"/>
          <w:vertAlign w:val="superscript"/>
          <w:lang w:val="en-US" w:eastAsia="en-US" w:bidi="ar-SA"/>
        </w:rPr>
        <w:footnoteReference w:customMarkFollows="1" w:id="135"/>
        <w:t xml:space="preserve">135</w:t>
      </w:r>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Jones v. Cunningham</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36"/>
        <w:t xml:space="preserve">136</w:t>
      </w:r>
      <w:r>
        <w:rPr>
          <w:rFonts w:ascii="arial" w:eastAsia="arial" w:hAnsi="arial" w:cs="arial"/>
          <w:color w:val="000000"/>
          <w:sz w:val="20"/>
          <w:lang w:val="en-US" w:eastAsia="en-US" w:bidi="ar-SA"/>
        </w:rPr>
        <w:t xml:space="preserve"> the Supreme Court departed from its previous requirement that custody involve actual physical restraint. In </w:t>
      </w:r>
      <w:r>
        <w:rPr>
          <w:rFonts w:ascii="arial" w:eastAsia="arial" w:hAnsi="arial" w:cs="arial"/>
          <w:i/>
          <w:color w:val="000000"/>
          <w:sz w:val="20"/>
          <w:lang w:val="en-US" w:eastAsia="en-US" w:bidi="ar-SA"/>
        </w:rPr>
        <w:t>Jones</w:t>
      </w:r>
      <w:r>
        <w:rPr>
          <w:rFonts w:ascii="arial" w:eastAsia="arial" w:hAnsi="arial" w:cs="arial"/>
          <w:color w:val="000000"/>
          <w:sz w:val="20"/>
          <w:lang w:val="en-US" w:eastAsia="en-US" w:bidi="ar-SA"/>
        </w:rPr>
        <w:t xml:space="preserve">, the Court held that parole imposed a significant restriction on a prisoner’s freedom and therefore constituted constructive custody for purposes of seeking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relief.</w:t>
      </w:r>
      <w:r>
        <w:rPr>
          <w:rFonts w:ascii="arial" w:eastAsia="arial" w:hAnsi="arial" w:cs="arial"/>
          <w:sz w:val="20"/>
          <w:vertAlign w:val="superscript"/>
          <w:lang w:val="en-US" w:eastAsia="en-US" w:bidi="ar-SA"/>
        </w:rPr>
        <w:footnoteReference w:customMarkFollows="1" w:id="137"/>
        <w:t xml:space="preserve">137</w:t>
      </w:r>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Hensley v. Municipal Court</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38"/>
        <w:t xml:space="preserve">138</w:t>
      </w:r>
      <w:r>
        <w:rPr>
          <w:rFonts w:ascii="arial" w:eastAsia="arial" w:hAnsi="arial" w:cs="arial"/>
          <w:color w:val="000000"/>
          <w:sz w:val="20"/>
          <w:lang w:val="en-US" w:eastAsia="en-US" w:bidi="ar-SA"/>
        </w:rPr>
        <w:t xml:space="preserve"> the Court expanded </w:t>
      </w:r>
      <w:r>
        <w:rPr>
          <w:rFonts w:ascii="arial" w:eastAsia="arial" w:hAnsi="arial" w:cs="arial"/>
          <w:i/>
          <w:color w:val="000000"/>
          <w:sz w:val="20"/>
          <w:lang w:val="en-US" w:eastAsia="en-US" w:bidi="ar-SA"/>
        </w:rPr>
        <w:t>Jones</w:t>
      </w:r>
      <w:r>
        <w:rPr>
          <w:rFonts w:ascii="arial" w:eastAsia="arial" w:hAnsi="arial" w:cs="arial"/>
          <w:color w:val="000000"/>
          <w:sz w:val="20"/>
          <w:lang w:val="en-US" w:eastAsia="en-US" w:bidi="ar-SA"/>
        </w:rPr>
        <w:t xml:space="preserve"> to uphold the right of a prisoner to contest his conviction in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even after he won release on his own recognizance.</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Both </w:t>
      </w:r>
      <w:r>
        <w:rPr>
          <w:rFonts w:ascii="arial" w:eastAsia="arial" w:hAnsi="arial" w:cs="arial"/>
          <w:i/>
          <w:color w:val="000000"/>
          <w:sz w:val="20"/>
          <w:lang w:val="en-US" w:eastAsia="en-US" w:bidi="ar-SA"/>
        </w:rPr>
        <w:t>Jones</w:t>
      </w:r>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Hensley</w:t>
      </w:r>
      <w:r>
        <w:rPr>
          <w:rFonts w:ascii="arial" w:eastAsia="arial" w:hAnsi="arial" w:cs="arial"/>
          <w:color w:val="000000"/>
          <w:sz w:val="20"/>
          <w:lang w:val="en-US" w:eastAsia="en-US" w:bidi="ar-SA"/>
        </w:rPr>
        <w:t xml:space="preserve"> interpreted the word “custody” for actions filed by state prisoners. Whether the liberal interpretations of “custody” provided by </w:t>
      </w:r>
      <w:r>
        <w:rPr>
          <w:rFonts w:ascii="arial" w:eastAsia="arial" w:hAnsi="arial" w:cs="arial"/>
          <w:i/>
          <w:color w:val="000000"/>
          <w:sz w:val="20"/>
          <w:lang w:val="en-US" w:eastAsia="en-US" w:bidi="ar-SA"/>
        </w:rPr>
        <w:t>Jones</w:t>
      </w:r>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Hensley</w:t>
      </w:r>
      <w:r>
        <w:rPr>
          <w:rFonts w:ascii="arial" w:eastAsia="arial" w:hAnsi="arial" w:cs="arial"/>
          <w:color w:val="000000"/>
          <w:sz w:val="20"/>
          <w:lang w:val="en-US" w:eastAsia="en-US" w:bidi="ar-SA"/>
        </w:rPr>
        <w:t xml:space="preserve"> applied to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in the immigration context perplexed the courts.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r>
        <w:rPr>
          <w:rFonts w:ascii="arial" w:eastAsia="arial" w:hAnsi="arial" w:cs="arial"/>
          <w:i/>
          <w:color w:val="000000"/>
          <w:sz w:val="20"/>
          <w:lang w:val="en-US" w:eastAsia="en-US" w:bidi="ar-SA"/>
        </w:rPr>
        <w:t>United States ex rel. Marcello v. District Director</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39"/>
        <w:t xml:space="preserve">139</w:t>
      </w:r>
      <w:r>
        <w:rPr>
          <w:rFonts w:ascii="arial" w:eastAsia="arial" w:hAnsi="arial" w:cs="arial"/>
          <w:color w:val="000000"/>
          <w:sz w:val="20"/>
          <w:lang w:val="en-US" w:eastAsia="en-US" w:bidi="ar-SA"/>
        </w:rPr>
        <w:t xml:space="preserve"> the Fifth Circuit rejected a broad interpretation of custody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purposes in an immigration case, holding that “custody” requires actual physical detention. The mere existence of an outstanding deportation order would not be a sufficient restraint on liberty to invoke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Were it otherwise, the court held, the exception (district court review on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would swallow the rule (court of appeals review).</w:t>
      </w:r>
      <w:r>
        <w:rPr>
          <w:rFonts w:ascii="arial" w:eastAsia="arial" w:hAnsi="arial" w:cs="arial"/>
          <w:sz w:val="20"/>
          <w:vertAlign w:val="superscript"/>
          <w:lang w:val="en-US" w:eastAsia="en-US" w:bidi="ar-SA"/>
        </w:rPr>
        <w:footnoteReference w:customMarkFollows="1" w:id="140"/>
        <w:t xml:space="preserve">140</w:t>
      </w:r>
      <w:r>
        <w:rPr>
          <w:rFonts w:ascii="arial" w:eastAsia="arial" w:hAnsi="arial" w:cs="arial"/>
          <w:color w:val="000000"/>
          <w:sz w:val="20"/>
          <w:lang w:val="en-US" w:eastAsia="en-US" w:bidi="ar-SA"/>
        </w:rPr>
        <w:t xml:space="preserve"> The </w:t>
      </w:r>
      <w:r>
        <w:rPr>
          <w:rFonts w:ascii="arial" w:eastAsia="arial" w:hAnsi="arial" w:cs="arial"/>
          <w:i/>
          <w:color w:val="000000"/>
          <w:sz w:val="20"/>
          <w:lang w:val="en-US" w:eastAsia="en-US" w:bidi="ar-SA"/>
        </w:rPr>
        <w:t>Marcello</w:t>
      </w:r>
      <w:r>
        <w:rPr>
          <w:rFonts w:ascii="arial" w:eastAsia="arial" w:hAnsi="arial" w:cs="arial"/>
          <w:color w:val="000000"/>
          <w:sz w:val="20"/>
          <w:lang w:val="en-US" w:eastAsia="en-US" w:bidi="ar-SA"/>
        </w:rPr>
        <w:t xml:space="preserve"> court ultimately found custody, however, even under the narrower interpretation.</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Most courts took the opposite position and did not require actual physical custody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purposes.</w:t>
      </w:r>
      <w:r>
        <w:rPr>
          <w:rFonts w:ascii="arial" w:eastAsia="arial" w:hAnsi="arial" w:cs="arial"/>
          <w:sz w:val="20"/>
          <w:vertAlign w:val="superscript"/>
          <w:lang w:val="en-US" w:eastAsia="en-US" w:bidi="ar-SA"/>
        </w:rPr>
        <w:footnoteReference w:customMarkFollows="1" w:id="141"/>
        <w:t xml:space="preserve">141</w:t>
      </w:r>
      <w:r>
        <w:rPr>
          <w:rFonts w:ascii="arial" w:eastAsia="arial" w:hAnsi="arial" w:cs="arial"/>
          <w:color w:val="000000"/>
          <w:sz w:val="20"/>
          <w:lang w:val="en-US" w:eastAsia="en-US" w:bidi="ar-SA"/>
        </w:rPr>
        <w:t xml:space="preserve"> The petitioner did have to show, however, that she was subject to restraints not shared by the public generally.</w:t>
      </w:r>
      <w:r>
        <w:rPr>
          <w:rFonts w:ascii="arial" w:eastAsia="arial" w:hAnsi="arial" w:cs="arial"/>
          <w:sz w:val="20"/>
          <w:vertAlign w:val="superscript"/>
          <w:lang w:val="en-US" w:eastAsia="en-US" w:bidi="ar-SA"/>
        </w:rPr>
        <w:footnoteReference w:customMarkFollows="1" w:id="142"/>
        <w:t xml:space="preserve">142</w:t>
      </w:r>
      <w:r>
        <w:rPr>
          <w:rFonts w:ascii="arial" w:eastAsia="arial" w:hAnsi="arial" w:cs="arial"/>
          <w:color w:val="000000"/>
          <w:sz w:val="20"/>
          <w:lang w:val="en-US" w:eastAsia="en-US" w:bidi="ar-SA"/>
        </w:rPr>
        <w:t xml:space="preserve"> Thus, courts found restraint sufficient to support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when a noncitizen had been released on bond after a deportation order;</w:t>
      </w:r>
      <w:r>
        <w:rPr>
          <w:rFonts w:ascii="arial" w:eastAsia="arial" w:hAnsi="arial" w:cs="arial"/>
          <w:sz w:val="20"/>
          <w:vertAlign w:val="superscript"/>
          <w:lang w:val="en-US" w:eastAsia="en-US" w:bidi="ar-SA"/>
        </w:rPr>
        <w:footnoteReference w:customMarkFollows="1" w:id="143"/>
        <w:t xml:space="preserve">143</w:t>
      </w:r>
      <w:r>
        <w:rPr>
          <w:rFonts w:ascii="arial" w:eastAsia="arial" w:hAnsi="arial" w:cs="arial"/>
          <w:color w:val="000000"/>
          <w:sz w:val="20"/>
          <w:lang w:val="en-US" w:eastAsia="en-US" w:bidi="ar-SA"/>
        </w:rPr>
        <w:t xml:space="preserve"> when a lawful permanent resident was subject to a final deportation order;</w:t>
      </w:r>
      <w:r>
        <w:rPr>
          <w:rFonts w:ascii="arial" w:eastAsia="arial" w:hAnsi="arial" w:cs="arial"/>
          <w:sz w:val="20"/>
          <w:vertAlign w:val="superscript"/>
          <w:lang w:val="en-US" w:eastAsia="en-US" w:bidi="ar-SA"/>
        </w:rPr>
        <w:footnoteReference w:customMarkFollows="1" w:id="144"/>
        <w:t xml:space="preserve">144</w:t>
      </w:r>
      <w:r>
        <w:rPr>
          <w:rFonts w:ascii="arial" w:eastAsia="arial" w:hAnsi="arial" w:cs="arial"/>
          <w:color w:val="000000"/>
          <w:sz w:val="20"/>
          <w:lang w:val="en-US" w:eastAsia="en-US" w:bidi="ar-SA"/>
        </w:rPr>
        <w:t xml:space="preserve"> when a deportation order had become final against a respondent who was not in custody or on bond or parole;</w:t>
      </w:r>
      <w:r>
        <w:rPr>
          <w:rFonts w:ascii="arial" w:eastAsia="arial" w:hAnsi="arial" w:cs="arial"/>
          <w:sz w:val="20"/>
          <w:vertAlign w:val="superscript"/>
          <w:lang w:val="en-US" w:eastAsia="en-US" w:bidi="ar-SA"/>
        </w:rPr>
        <w:footnoteReference w:customMarkFollows="1" w:id="145"/>
        <w:t xml:space="preserve">145</w:t>
      </w:r>
      <w:r>
        <w:rPr>
          <w:rFonts w:ascii="arial" w:eastAsia="arial" w:hAnsi="arial" w:cs="arial"/>
          <w:color w:val="000000"/>
          <w:sz w:val="20"/>
          <w:lang w:val="en-US" w:eastAsia="en-US" w:bidi="ar-SA"/>
        </w:rPr>
        <w:t xml:space="preserve"> when her movement was restricted as the result of any final order of deportation;</w:t>
      </w:r>
      <w:r>
        <w:rPr>
          <w:rFonts w:ascii="arial" w:eastAsia="arial" w:hAnsi="arial" w:cs="arial"/>
          <w:sz w:val="20"/>
          <w:vertAlign w:val="superscript"/>
          <w:lang w:val="en-US" w:eastAsia="en-US" w:bidi="ar-SA"/>
        </w:rPr>
        <w:footnoteReference w:customMarkFollows="1" w:id="146"/>
        <w:t xml:space="preserve">146</w:t>
      </w:r>
      <w:r>
        <w:rPr>
          <w:rFonts w:ascii="arial" w:eastAsia="arial" w:hAnsi="arial" w:cs="arial"/>
          <w:color w:val="000000"/>
          <w:sz w:val="20"/>
          <w:lang w:val="en-US" w:eastAsia="en-US" w:bidi="ar-SA"/>
        </w:rPr>
        <w:t xml:space="preserve"> and even when a petitioner had been “involuntarily” removed from the United States by federal officers and was outside the United States at the time of the filing of the petition.</w:t>
      </w:r>
      <w:r>
        <w:rPr>
          <w:rFonts w:ascii="arial" w:eastAsia="arial" w:hAnsi="arial" w:cs="arial"/>
          <w:sz w:val="20"/>
          <w:vertAlign w:val="superscript"/>
          <w:lang w:val="en-US" w:eastAsia="en-US" w:bidi="ar-SA"/>
        </w:rPr>
        <w:footnoteReference w:customMarkFollows="1" w:id="147"/>
        <w:t xml:space="preserve">147</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Also, a court held that, in denying a request for extension of voluntary departure and advising the family that it would receive notice of when and where to report for deportation, the immigration agency interfered with the family’s freedom substantially enough to satisfy the custody command of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48"/>
        <w:t xml:space="preserve">148</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r>
        <w:rPr>
          <w:rFonts w:ascii="arial" w:eastAsia="arial" w:hAnsi="arial" w:cs="arial"/>
          <w:i/>
          <w:color w:val="000000"/>
          <w:sz w:val="20"/>
          <w:lang w:val="en-US" w:eastAsia="en-US" w:bidi="ar-SA"/>
        </w:rPr>
        <w:t>Rumsfeld v. Padilla</w:t>
      </w:r>
      <w:r>
        <w:rPr>
          <w:rFonts w:ascii="arial" w:eastAsia="arial" w:hAnsi="arial" w:cs="arial"/>
          <w:color w:val="000000"/>
          <w:sz w:val="20"/>
          <w:lang w:val="en-US" w:eastAsia="en-US" w:bidi="ar-SA"/>
        </w:rPr>
        <w:t xml:space="preserve">, the Supreme Court reaffirmed that “custody”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purposes does not require physical detention and that the court’s “understanding of custody has broadened to include restraints short of physical confinement.”</w:t>
      </w:r>
      <w:r>
        <w:rPr>
          <w:rFonts w:ascii="arial" w:eastAsia="arial" w:hAnsi="arial" w:cs="arial"/>
          <w:sz w:val="20"/>
          <w:vertAlign w:val="superscript"/>
          <w:lang w:val="en-US" w:eastAsia="en-US" w:bidi="ar-SA"/>
        </w:rPr>
        <w:footnoteReference w:customMarkFollows="1" w:id="149"/>
        <w:t xml:space="preserve">149</w:t>
      </w:r>
      <w:r>
        <w:rPr>
          <w:rFonts w:ascii="arial" w:eastAsia="arial" w:hAnsi="arial" w:cs="arial"/>
          <w:color w:val="000000"/>
          <w:sz w:val="20"/>
          <w:lang w:val="en-US" w:eastAsia="en-US" w:bidi="ar-SA"/>
        </w:rPr>
        <w:t xml:space="preserve"> Following </w:t>
      </w:r>
      <w:r>
        <w:rPr>
          <w:rFonts w:ascii="arial" w:eastAsia="arial" w:hAnsi="arial" w:cs="arial"/>
          <w:i/>
          <w:color w:val="000000"/>
          <w:sz w:val="20"/>
          <w:lang w:val="en-US" w:eastAsia="en-US" w:bidi="ar-SA"/>
        </w:rPr>
        <w:t>Rumsfeld</w:t>
      </w:r>
      <w:r>
        <w:rPr>
          <w:rFonts w:ascii="arial" w:eastAsia="arial" w:hAnsi="arial" w:cs="arial"/>
          <w:color w:val="000000"/>
          <w:sz w:val="20"/>
          <w:lang w:val="en-US" w:eastAsia="en-US" w:bidi="ar-SA"/>
        </w:rPr>
        <w:t xml:space="preserve">, the Fifth Circuit joined four other circuits and held that a petitioner who is subject to a final order of removal is considered to be “in custody”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purposes.</w:t>
      </w:r>
      <w:r>
        <w:rPr>
          <w:rFonts w:ascii="arial" w:eastAsia="arial" w:hAnsi="arial" w:cs="arial"/>
          <w:sz w:val="20"/>
          <w:vertAlign w:val="superscript"/>
          <w:lang w:val="en-US" w:eastAsia="en-US" w:bidi="ar-SA"/>
        </w:rPr>
        <w:footnoteReference w:customMarkFollows="1" w:id="150"/>
        <w:t xml:space="preserve">150</w:t>
      </w:r>
    </w:p>
    <w:p>
      <w:pPr>
        <w:rPr>
          <w:rFonts w:ascii="arial" w:eastAsia="arial" w:hAnsi="arial" w:cs="arial"/>
          <w:sz w:val="20"/>
          <w:lang w:val="en-US" w:eastAsia="en-US" w:bidi="ar-SA"/>
        </w:rPr>
      </w:pPr>
      <w:bookmarkStart w:id="59" w:name="Bookmark_TAAEAAC"/>
      <w:bookmarkEnd w:id="59"/>
      <w:bookmarkStart w:id="60" w:name="Bookmark__4_b"/>
      <w:bookmarkEnd w:id="60"/>
    </w:p>
    <w:p>
      <w:pPr>
        <w:numPr>
          <w:numId w:val="36"/>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Custody Pending Removal—Detainers, Bond, and Parole</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former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 xml:space="preserve">, some courts held that state prisoners with final orders of deportation who were not yet in the physical custody of the INS were “in custody” for purposes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relief.</w:t>
      </w:r>
      <w:r>
        <w:rPr>
          <w:rFonts w:ascii="arial" w:eastAsia="arial" w:hAnsi="arial" w:cs="arial"/>
          <w:sz w:val="20"/>
          <w:vertAlign w:val="superscript"/>
          <w:lang w:val="en-US" w:eastAsia="en-US" w:bidi="ar-SA"/>
        </w:rPr>
        <w:footnoteReference w:customMarkFollows="1" w:id="151"/>
        <w:t xml:space="preserve">151</w:t>
      </w:r>
      <w:r>
        <w:rPr>
          <w:rFonts w:ascii="arial" w:eastAsia="arial" w:hAnsi="arial" w:cs="arial"/>
          <w:color w:val="000000"/>
          <w:sz w:val="20"/>
          <w:lang w:val="en-US" w:eastAsia="en-US" w:bidi="ar-SA"/>
        </w:rPr>
        <w:t xml:space="preserve"> Some courts also held that the filing of an INS detainer, without more, was insufficient to satisfy the “in custody” requirement.</w:t>
      </w:r>
      <w:r>
        <w:rPr>
          <w:rFonts w:ascii="arial" w:eastAsia="arial" w:hAnsi="arial" w:cs="arial"/>
          <w:sz w:val="20"/>
          <w:vertAlign w:val="superscript"/>
          <w:lang w:val="en-US" w:eastAsia="en-US" w:bidi="ar-SA"/>
        </w:rPr>
        <w:footnoteReference w:customMarkFollows="1" w:id="152"/>
        <w:t xml:space="preserve">152</w:t>
      </w:r>
      <w:r>
        <w:rPr>
          <w:rFonts w:ascii="arial" w:eastAsia="arial" w:hAnsi="arial" w:cs="arial"/>
          <w:color w:val="000000"/>
          <w:sz w:val="20"/>
          <w:lang w:val="en-US" w:eastAsia="en-US" w:bidi="ar-SA"/>
        </w:rPr>
        <w:t xml:space="preserve"> In this view, a detainer constitutes a notice that future immigration custody will be sought at the conclusion of a prisoner’s pending confinement by another jurisdiction and a request for prior notice regarding the termination of that confinement, but not present confinement by the immigration agency.</w:t>
      </w:r>
      <w:r>
        <w:rPr>
          <w:rFonts w:ascii="arial" w:eastAsia="arial" w:hAnsi="arial" w:cs="arial"/>
          <w:sz w:val="20"/>
          <w:vertAlign w:val="superscript"/>
          <w:lang w:val="en-US" w:eastAsia="en-US" w:bidi="ar-SA"/>
        </w:rPr>
        <w:footnoteReference w:customMarkFollows="1" w:id="153"/>
        <w:t xml:space="preserve">153</w:t>
      </w:r>
      <w:r>
        <w:rPr>
          <w:rFonts w:ascii="arial" w:eastAsia="arial" w:hAnsi="arial" w:cs="arial"/>
          <w:color w:val="000000"/>
          <w:sz w:val="20"/>
          <w:lang w:val="en-US" w:eastAsia="en-US" w:bidi="ar-SA"/>
        </w:rPr>
        <w:t xml:space="preserve"> Even when a detainer, an order to show cause, and an arrest warrant had been issued by the INS, some courts considered the inmate to remain in the custody of the correctional institution until he completed his criminal sentence and was taken into physical custody by the INS.</w:t>
      </w:r>
      <w:r>
        <w:rPr>
          <w:rFonts w:ascii="arial" w:eastAsia="arial" w:hAnsi="arial" w:cs="arial"/>
          <w:sz w:val="20"/>
          <w:vertAlign w:val="superscript"/>
          <w:lang w:val="en-US" w:eastAsia="en-US" w:bidi="ar-SA"/>
        </w:rPr>
        <w:footnoteReference w:customMarkFollows="1" w:id="154"/>
        <w:t xml:space="preserve">154</w:t>
      </w:r>
      <w:r>
        <w:rPr>
          <w:rFonts w:ascii="arial" w:eastAsia="arial" w:hAnsi="arial" w:cs="arial"/>
          <w:color w:val="000000"/>
          <w:sz w:val="20"/>
          <w:lang w:val="en-US" w:eastAsia="en-US" w:bidi="ar-SA"/>
        </w:rPr>
        <w:t xml:space="preserve"> However, other courts held that a final order of deportation and a detainer were sufficient to render a noncitizen “in custody” under former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55"/>
        <w:t xml:space="preserve">155</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Seventh Circuit adopted a different view, remanding for the district court to determine whether the INS detainer was a simple notice of INS interest in a prisoner, or a request to “hold [the] inmate at the end of his sentence until the INS can take him into custody,” in which event INS custody would be established.</w:t>
      </w:r>
      <w:r>
        <w:rPr>
          <w:rFonts w:ascii="arial" w:eastAsia="arial" w:hAnsi="arial" w:cs="arial"/>
          <w:sz w:val="20"/>
          <w:vertAlign w:val="superscript"/>
          <w:lang w:val="en-US" w:eastAsia="en-US" w:bidi="ar-SA"/>
        </w:rPr>
        <w:footnoteReference w:customMarkFollows="1" w:id="156"/>
        <w:t xml:space="preserve">156</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Courts have continued to apply an expansive interpretation of the “in custody” requirement to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cases decided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The clearest example of custody is that of a noncitizen subject to a final order of deportation or removal who is being detained by the immigration agency.</w:t>
      </w:r>
      <w:r>
        <w:rPr>
          <w:rFonts w:ascii="arial" w:eastAsia="arial" w:hAnsi="arial" w:cs="arial"/>
          <w:sz w:val="20"/>
          <w:vertAlign w:val="superscript"/>
          <w:lang w:val="en-US" w:eastAsia="en-US" w:bidi="ar-SA"/>
        </w:rPr>
        <w:footnoteReference w:customMarkFollows="1" w:id="157"/>
        <w:t xml:space="preserve">157</w:t>
      </w:r>
      <w:r>
        <w:rPr>
          <w:rFonts w:ascii="arial" w:eastAsia="arial" w:hAnsi="arial" w:cs="arial"/>
          <w:color w:val="000000"/>
          <w:sz w:val="20"/>
          <w:lang w:val="en-US" w:eastAsia="en-US" w:bidi="ar-SA"/>
        </w:rPr>
        <w:t xml:space="preserve"> The Second Circuit held that a noncitizen who has been ordered removed but is currently serving a sentence in state prison is “in custody” of the immigration agency for purposes of filing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claim.</w:t>
      </w:r>
      <w:r>
        <w:rPr>
          <w:rFonts w:ascii="arial" w:eastAsia="arial" w:hAnsi="arial" w:cs="arial"/>
          <w:sz w:val="20"/>
          <w:vertAlign w:val="superscript"/>
          <w:lang w:val="en-US" w:eastAsia="en-US" w:bidi="ar-SA"/>
        </w:rPr>
        <w:footnoteReference w:customMarkFollows="1" w:id="158"/>
        <w:t xml:space="preserve">158</w:t>
      </w:r>
      <w:r>
        <w:rPr>
          <w:rFonts w:ascii="arial" w:eastAsia="arial" w:hAnsi="arial" w:cs="arial"/>
          <w:color w:val="000000"/>
          <w:sz w:val="20"/>
          <w:lang w:val="en-US" w:eastAsia="en-US" w:bidi="ar-SA"/>
        </w:rPr>
        <w:t xml:space="preserve"> The courts have used the INA’s mandatory-detention provisions to assert that individuals who are in state custody and who are subject to mandatory detention by the immigration agency following their release are “in custody” of the immigration agency for purposes of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w:t>
      </w:r>
      <w:r>
        <w:rPr>
          <w:rFonts w:ascii="arial" w:eastAsia="arial" w:hAnsi="arial" w:cs="arial"/>
          <w:sz w:val="20"/>
          <w:vertAlign w:val="superscript"/>
          <w:lang w:val="en-US" w:eastAsia="en-US" w:bidi="ar-SA"/>
        </w:rPr>
        <w:footnoteReference w:customMarkFollows="1" w:id="159"/>
        <w:t xml:space="preserve">159</w:t>
      </w:r>
      <w:r>
        <w:rPr>
          <w:rFonts w:ascii="arial" w:eastAsia="arial" w:hAnsi="arial" w:cs="arial"/>
          <w:color w:val="000000"/>
          <w:sz w:val="20"/>
          <w:lang w:val="en-US" w:eastAsia="en-US" w:bidi="ar-SA"/>
        </w:rPr>
        <w:t xml:space="preserve"> Most circuits held that the mere filing of a detainer by the immigration agency with state or local authorities, in the absence of a final order of removal, does not place a noncitizen in a state or local prison “in custody”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purposes.</w:t>
      </w:r>
      <w:r>
        <w:rPr>
          <w:rFonts w:ascii="arial" w:eastAsia="arial" w:hAnsi="arial" w:cs="arial"/>
          <w:sz w:val="20"/>
          <w:vertAlign w:val="superscript"/>
          <w:lang w:val="en-US" w:eastAsia="en-US" w:bidi="ar-SA"/>
        </w:rPr>
        <w:footnoteReference w:customMarkFollows="1" w:id="160"/>
        <w:t xml:space="preserve">160</w:t>
      </w:r>
      <w:r>
        <w:rPr>
          <w:rFonts w:ascii="arial" w:eastAsia="arial" w:hAnsi="arial" w:cs="arial"/>
          <w:color w:val="000000"/>
          <w:sz w:val="20"/>
          <w:lang w:val="en-US" w:eastAsia="en-US" w:bidi="ar-SA"/>
        </w:rPr>
        <w:t xml:space="preserve"> Furthermore, an individual in state custody who was temporarily transferred to the INS for removal proceedings was deemed not be in INS custody after returning to state custody.</w:t>
      </w:r>
      <w:r>
        <w:rPr>
          <w:rFonts w:ascii="arial" w:eastAsia="arial" w:hAnsi="arial" w:cs="arial"/>
          <w:sz w:val="20"/>
          <w:vertAlign w:val="superscript"/>
          <w:lang w:val="en-US" w:eastAsia="en-US" w:bidi="ar-SA"/>
        </w:rPr>
        <w:footnoteReference w:customMarkFollows="1" w:id="161"/>
        <w:t xml:space="preserve">161</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 noncitizen with an order of removal who had been released from detention on parole following the ninety-day removal period was deemed to be “in custody.”</w:t>
      </w:r>
      <w:r>
        <w:rPr>
          <w:rFonts w:ascii="arial" w:eastAsia="arial" w:hAnsi="arial" w:cs="arial"/>
          <w:sz w:val="20"/>
          <w:vertAlign w:val="superscript"/>
          <w:lang w:val="en-US" w:eastAsia="en-US" w:bidi="ar-SA"/>
        </w:rPr>
        <w:footnoteReference w:customMarkFollows="1" w:id="162"/>
        <w:t xml:space="preserve">162</w:t>
      </w:r>
      <w:r>
        <w:rPr>
          <w:rFonts w:ascii="arial" w:eastAsia="arial" w:hAnsi="arial" w:cs="arial"/>
          <w:color w:val="000000"/>
          <w:sz w:val="20"/>
          <w:lang w:val="en-US" w:eastAsia="en-US" w:bidi="ar-SA"/>
        </w:rPr>
        <w:t xml:space="preserve"> Where the non-detained petitioners’ period of voluntary departure expired on the day they filed their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thus confronting them with a final order of deportation, they were in constructive custody for purposes of § 2241.</w:t>
      </w:r>
      <w:r>
        <w:rPr>
          <w:rFonts w:ascii="arial" w:eastAsia="arial" w:hAnsi="arial" w:cs="arial"/>
          <w:sz w:val="20"/>
          <w:vertAlign w:val="superscript"/>
          <w:lang w:val="en-US" w:eastAsia="en-US" w:bidi="ar-SA"/>
        </w:rPr>
        <w:footnoteReference w:customMarkFollows="1" w:id="163"/>
        <w:t xml:space="preserve">163</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Note that an individual cannot use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under </w:t>
      </w:r>
      <w:hyperlink r:id="rId27" w:history="1">
        <w:r>
          <w:rPr>
            <w:rFonts w:ascii="arial" w:eastAsia="arial" w:hAnsi="arial" w:cs="arial"/>
            <w:i/>
            <w:color w:val="0077CC"/>
            <w:sz w:val="20"/>
            <w:u w:val="single"/>
            <w:shd w:val="clear" w:color="auto" w:fill="FFFFFF"/>
            <w:lang w:val="en-US" w:eastAsia="en-US" w:bidi="ar-SA"/>
          </w:rPr>
          <w:t>28 U.S.C. § 2254</w:t>
        </w:r>
      </w:hyperlink>
      <w:r>
        <w:rPr>
          <w:rFonts w:ascii="arial" w:eastAsia="arial" w:hAnsi="arial" w:cs="arial"/>
          <w:color w:val="000000"/>
          <w:sz w:val="20"/>
          <w:lang w:val="en-US" w:eastAsia="en-US" w:bidi="ar-SA"/>
        </w:rPr>
        <w:t xml:space="preserve"> to challenge a state court conviction after he is placed in immigration custody.</w:t>
      </w:r>
      <w:r>
        <w:rPr>
          <w:rFonts w:ascii="arial" w:eastAsia="arial" w:hAnsi="arial" w:cs="arial"/>
          <w:sz w:val="20"/>
          <w:vertAlign w:val="superscript"/>
          <w:lang w:val="en-US" w:eastAsia="en-US" w:bidi="ar-SA"/>
        </w:rPr>
        <w:footnoteReference w:customMarkFollows="1" w:id="164"/>
        <w:t xml:space="preserve">164</w:t>
      </w:r>
      <w:r>
        <w:rPr>
          <w:rFonts w:ascii="arial" w:eastAsia="arial" w:hAnsi="arial" w:cs="arial"/>
          <w:color w:val="000000"/>
          <w:sz w:val="20"/>
          <w:lang w:val="en-US" w:eastAsia="en-US" w:bidi="ar-SA"/>
        </w:rPr>
        <w:t xml:space="preserve"> Nor may such a person use a petition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to challenge the underlying state conviction.</w:t>
      </w:r>
      <w:r>
        <w:rPr>
          <w:rFonts w:ascii="arial" w:eastAsia="arial" w:hAnsi="arial" w:cs="arial"/>
          <w:sz w:val="20"/>
          <w:vertAlign w:val="superscript"/>
          <w:lang w:val="en-US" w:eastAsia="en-US" w:bidi="ar-SA"/>
        </w:rPr>
        <w:footnoteReference w:customMarkFollows="1" w:id="165"/>
        <w:t xml:space="preserve">165</w:t>
      </w:r>
    </w:p>
    <w:p>
      <w:pPr>
        <w:rPr>
          <w:rFonts w:ascii="arial" w:eastAsia="arial" w:hAnsi="arial" w:cs="arial"/>
          <w:sz w:val="20"/>
          <w:lang w:val="en-US" w:eastAsia="en-US" w:bidi="ar-SA"/>
        </w:rPr>
      </w:pPr>
      <w:bookmarkStart w:id="61" w:name="Bookmark_TAAEAAD"/>
      <w:bookmarkEnd w:id="61"/>
      <w:bookmarkStart w:id="62" w:name="Bookmark__4_c"/>
      <w:bookmarkEnd w:id="62"/>
    </w:p>
    <w:p>
      <w:pPr>
        <w:numPr>
          <w:numId w:val="3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Custody Post-Removal</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Some courts have said that petitioners satisfy the “in custody” requirement if they were in custody when they filed the petitions, even if they were deported before the court decisions.</w:t>
      </w:r>
      <w:r>
        <w:rPr>
          <w:rFonts w:ascii="arial" w:eastAsia="arial" w:hAnsi="arial" w:cs="arial"/>
          <w:sz w:val="20"/>
          <w:vertAlign w:val="superscript"/>
          <w:lang w:val="en-US" w:eastAsia="en-US" w:bidi="ar-SA"/>
        </w:rPr>
        <w:footnoteReference w:customMarkFollows="1" w:id="166"/>
        <w:t xml:space="preserve">166</w:t>
      </w:r>
      <w:r>
        <w:rPr>
          <w:rFonts w:ascii="arial" w:eastAsia="arial" w:hAnsi="arial" w:cs="arial"/>
          <w:color w:val="000000"/>
          <w:sz w:val="20"/>
          <w:lang w:val="en-US" w:eastAsia="en-US" w:bidi="ar-SA"/>
        </w:rPr>
        <w:t xml:space="preserve"> If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is filed after the person has been removed from the United States, however, courts have held that the person is no longer “in custody”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purposes.</w:t>
      </w:r>
      <w:r>
        <w:rPr>
          <w:rFonts w:ascii="arial" w:eastAsia="arial" w:hAnsi="arial" w:cs="arial"/>
          <w:sz w:val="20"/>
          <w:vertAlign w:val="superscript"/>
          <w:lang w:val="en-US" w:eastAsia="en-US" w:bidi="ar-SA"/>
        </w:rPr>
        <w:footnoteReference w:customMarkFollows="1" w:id="167"/>
        <w:t xml:space="preserve">167</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 person who is outside the United States is not “in custody” and cannot seek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of an agency decision that prevents his return to the country.</w:t>
      </w:r>
      <w:r>
        <w:rPr>
          <w:rFonts w:ascii="arial" w:eastAsia="arial" w:hAnsi="arial" w:cs="arial"/>
          <w:sz w:val="20"/>
          <w:vertAlign w:val="superscript"/>
          <w:lang w:val="en-US" w:eastAsia="en-US" w:bidi="ar-SA"/>
        </w:rPr>
        <w:footnoteReference w:customMarkFollows="1" w:id="168"/>
        <w:t xml:space="preserve">168</w:t>
      </w:r>
    </w:p>
    <w:p>
      <w:pPr>
        <w:rPr>
          <w:rFonts w:ascii="arial" w:eastAsia="arial" w:hAnsi="arial" w:cs="arial"/>
          <w:sz w:val="20"/>
          <w:lang w:val="en-US" w:eastAsia="en-US" w:bidi="ar-SA"/>
        </w:rPr>
      </w:pPr>
      <w:bookmarkStart w:id="63" w:name="Bookmark_TAAF"/>
      <w:bookmarkEnd w:id="63"/>
      <w:bookmarkStart w:id="64" w:name="Bookmark__5"/>
      <w:bookmarkEnd w:id="64"/>
    </w:p>
    <w:p>
      <w:pPr>
        <w:numPr>
          <w:numId w:val="38"/>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Jurisdiction</w:t>
      </w:r>
    </w:p>
    <w:p>
      <w:pPr>
        <w:rPr>
          <w:rFonts w:ascii="arial" w:eastAsia="arial" w:hAnsi="arial" w:cs="arial"/>
          <w:sz w:val="20"/>
          <w:lang w:val="en-US" w:eastAsia="en-US" w:bidi="ar-SA"/>
        </w:rPr>
      </w:pPr>
      <w:bookmarkStart w:id="65" w:name="Bookmark_TAAFAAB"/>
      <w:bookmarkEnd w:id="65"/>
      <w:bookmarkStart w:id="66" w:name="Bookmark__5_a"/>
      <w:bookmarkEnd w:id="66"/>
    </w:p>
    <w:p>
      <w:pPr>
        <w:numPr>
          <w:numId w:val="3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Personal Jurisdiction</w:t>
      </w:r>
      <w:r>
        <w:rPr>
          <w:rFonts w:ascii="arial" w:eastAsia="arial" w:hAnsi="arial" w:cs="arial"/>
          <w:sz w:val="20"/>
          <w:vertAlign w:val="superscript"/>
          <w:lang w:val="en-US" w:eastAsia="en-US" w:bidi="ar-SA"/>
        </w:rPr>
        <w:footnoteReference w:customMarkFollows="1" w:id="169"/>
        <w:t xml:space="preserve">169</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Section 2243 of Title 28 provides that the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“shall be directed to the person having custody of the person detained.” Jurisdiction of the court over the custodian is required because the custodian must be amenable to service of process and the powers of the court to direct the actions of the restraining officials.</w:t>
      </w:r>
      <w:r>
        <w:rPr>
          <w:rFonts w:ascii="arial" w:eastAsia="arial" w:hAnsi="arial" w:cs="arial"/>
          <w:sz w:val="20"/>
          <w:vertAlign w:val="superscript"/>
          <w:lang w:val="en-US" w:eastAsia="en-US" w:bidi="ar-SA"/>
        </w:rPr>
        <w:footnoteReference w:customMarkFollows="1" w:id="170"/>
        <w:t xml:space="preserve">170</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one of the clearest statements of the principle, the Supreme Court held that the physical presence of the prisoner is not necessary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jurisdiction as long as the court has jurisdiction over the person holding the prisoner.</w:t>
      </w:r>
      <w:r>
        <w:rPr>
          <w:rFonts w:ascii="arial" w:eastAsia="arial" w:hAnsi="arial" w:cs="arial"/>
          <w:sz w:val="20"/>
          <w:vertAlign w:val="superscript"/>
          <w:lang w:val="en-US" w:eastAsia="en-US" w:bidi="ar-SA"/>
        </w:rPr>
        <w:footnoteReference w:customMarkFollows="1" w:id="171"/>
        <w:t xml:space="preserve">171</w:t>
      </w:r>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Braden v. 30th Judicial Circuit Court of Kentucky</w:t>
      </w:r>
      <w:r>
        <w:rPr>
          <w:rFonts w:ascii="arial" w:eastAsia="arial" w:hAnsi="arial" w:cs="arial"/>
          <w:color w:val="000000"/>
          <w:sz w:val="20"/>
          <w:lang w:val="en-US" w:eastAsia="en-US" w:bidi="ar-SA"/>
        </w:rPr>
        <w:t xml:space="preserve">, the Court permitted a petitioner held in Alabama to challenge a detainer filed against him by the Commonwealth of Kentucky. As the Court observed, the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does not act upon the prisoner who seeks relief, but upon the person who holds him in custody.</w:t>
      </w:r>
      <w:r>
        <w:rPr>
          <w:rFonts w:ascii="arial" w:eastAsia="arial" w:hAnsi="arial" w:cs="arial"/>
          <w:sz w:val="20"/>
          <w:vertAlign w:val="superscript"/>
          <w:lang w:val="en-US" w:eastAsia="en-US" w:bidi="ar-SA"/>
        </w:rPr>
        <w:footnoteReference w:customMarkFollows="1" w:id="172"/>
        <w:t xml:space="preserve">172</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Therefore, the personal jurisdiction requirement of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is properly seen as referring to personal jurisdiction over the custodian rather than the geographical boundaries of the district court’s jurisdiction.</w:t>
      </w:r>
      <w:r>
        <w:rPr>
          <w:rFonts w:ascii="arial" w:eastAsia="arial" w:hAnsi="arial" w:cs="arial"/>
          <w:sz w:val="20"/>
          <w:vertAlign w:val="superscript"/>
          <w:lang w:val="en-US" w:eastAsia="en-US" w:bidi="ar-SA"/>
        </w:rPr>
        <w:footnoteReference w:customMarkFollows="1" w:id="173"/>
        <w:t xml:space="preserve">173</w:t>
      </w:r>
      <w:r>
        <w:rPr>
          <w:rFonts w:ascii="arial" w:eastAsia="arial" w:hAnsi="arial" w:cs="arial"/>
          <w:color w:val="000000"/>
          <w:sz w:val="20"/>
          <w:lang w:val="en-US" w:eastAsia="en-US" w:bidi="ar-SA"/>
        </w:rPr>
        <w:t xml:space="preserve"> “[T]he court may act if there is a respondent within reach of its process who has custody of the petitioner.”</w:t>
      </w:r>
      <w:r>
        <w:rPr>
          <w:rFonts w:ascii="arial" w:eastAsia="arial" w:hAnsi="arial" w:cs="arial"/>
          <w:sz w:val="20"/>
          <w:vertAlign w:val="superscript"/>
          <w:lang w:val="en-US" w:eastAsia="en-US" w:bidi="ar-SA"/>
        </w:rPr>
        <w:footnoteReference w:customMarkFollows="1" w:id="174"/>
        <w:t xml:space="preserve">174</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 circuit court generally will grant a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only if the petitioner’s custodian is located within that circuit.</w:t>
      </w:r>
      <w:r>
        <w:rPr>
          <w:rFonts w:ascii="arial" w:eastAsia="arial" w:hAnsi="arial" w:cs="arial"/>
          <w:sz w:val="20"/>
          <w:vertAlign w:val="superscript"/>
          <w:lang w:val="en-US" w:eastAsia="en-US" w:bidi="ar-SA"/>
        </w:rPr>
        <w:footnoteReference w:customMarkFollows="1" w:id="175"/>
        <w:t xml:space="preserve">175</w:t>
      </w:r>
      <w:r>
        <w:rPr>
          <w:rFonts w:ascii="arial" w:eastAsia="arial" w:hAnsi="arial" w:cs="arial"/>
          <w:color w:val="000000"/>
          <w:sz w:val="20"/>
          <w:lang w:val="en-US" w:eastAsia="en-US" w:bidi="ar-SA"/>
        </w:rPr>
        <w:t xml:space="preserve"> In any event, a circuit judge may decline to entertain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and may (and usually will) transfer the application for hearing and determination to the appropriate district court.</w:t>
      </w:r>
      <w:r>
        <w:rPr>
          <w:rFonts w:ascii="arial" w:eastAsia="arial" w:hAnsi="arial" w:cs="arial"/>
          <w:sz w:val="20"/>
          <w:vertAlign w:val="superscript"/>
          <w:lang w:val="en-US" w:eastAsia="en-US" w:bidi="ar-SA"/>
        </w:rPr>
        <w:footnoteReference w:customMarkFollows="1" w:id="176"/>
        <w:t xml:space="preserve">176</w:t>
      </w:r>
    </w:p>
    <w:p>
      <w:pPr>
        <w:rPr>
          <w:rFonts w:ascii="arial" w:eastAsia="arial" w:hAnsi="arial" w:cs="arial"/>
          <w:sz w:val="20"/>
          <w:lang w:val="en-US" w:eastAsia="en-US" w:bidi="ar-SA"/>
        </w:rPr>
      </w:pPr>
      <w:bookmarkStart w:id="67" w:name="Bookmark_TAAFAAC"/>
      <w:bookmarkEnd w:id="67"/>
      <w:bookmarkStart w:id="68" w:name="Bookmark__5_b"/>
      <w:bookmarkEnd w:id="68"/>
    </w:p>
    <w:p>
      <w:pPr>
        <w:numPr>
          <w:numId w:val="40"/>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Determining the Proper Custodian</w:t>
      </w:r>
    </w:p>
    <w:p>
      <w:pPr>
        <w:rPr>
          <w:rFonts w:ascii="arial" w:eastAsia="arial" w:hAnsi="arial" w:cs="arial"/>
          <w:sz w:val="20"/>
          <w:lang w:val="en-US" w:eastAsia="en-US" w:bidi="ar-SA"/>
        </w:rPr>
      </w:pPr>
      <w:bookmarkStart w:id="69" w:name="Bookmark_TAAFAACAAB"/>
      <w:bookmarkEnd w:id="69"/>
      <w:bookmarkStart w:id="70" w:name="Bookmark__5_b_i"/>
      <w:bookmarkEnd w:id="70"/>
    </w:p>
    <w:p>
      <w:pPr>
        <w:numPr>
          <w:numId w:val="4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statute does not specify who the proper custodian is, or whether there may be more than one proper custodian.</w:t>
      </w:r>
      <w:r>
        <w:rPr>
          <w:rFonts w:ascii="arial" w:eastAsia="arial" w:hAnsi="arial" w:cs="arial"/>
          <w:sz w:val="20"/>
          <w:vertAlign w:val="superscript"/>
          <w:lang w:val="en-US" w:eastAsia="en-US" w:bidi="ar-SA"/>
        </w:rPr>
        <w:footnoteReference w:customMarkFollows="1" w:id="177"/>
        <w:t xml:space="preserve">177</w:t>
      </w:r>
      <w:r>
        <w:rPr>
          <w:rFonts w:ascii="arial" w:eastAsia="arial" w:hAnsi="arial" w:cs="arial"/>
          <w:color w:val="000000"/>
          <w:sz w:val="20"/>
          <w:lang w:val="en-US" w:eastAsia="en-US" w:bidi="ar-SA"/>
        </w:rPr>
        <w:t xml:space="preserve"> The statute also does not speak of an “immediate custodian.”</w:t>
      </w:r>
      <w:r>
        <w:rPr>
          <w:rFonts w:ascii="arial" w:eastAsia="arial" w:hAnsi="arial" w:cs="arial"/>
          <w:sz w:val="20"/>
          <w:vertAlign w:val="superscript"/>
          <w:lang w:val="en-US" w:eastAsia="en-US" w:bidi="ar-SA"/>
        </w:rPr>
        <w:footnoteReference w:customMarkFollows="1" w:id="178"/>
        <w:t xml:space="preserve">178</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Decisions have varied as to who the custodian must or may be.</w:t>
      </w:r>
      <w:r>
        <w:rPr>
          <w:rFonts w:ascii="arial" w:eastAsia="arial" w:hAnsi="arial" w:cs="arial"/>
          <w:sz w:val="20"/>
          <w:vertAlign w:val="superscript"/>
          <w:lang w:val="en-US" w:eastAsia="en-US" w:bidi="ar-SA"/>
        </w:rPr>
        <w:footnoteReference w:customMarkFollows="1" w:id="179"/>
        <w:t xml:space="preserve">179</w:t>
      </w:r>
      <w:r>
        <w:rPr>
          <w:rFonts w:ascii="arial" w:eastAsia="arial" w:hAnsi="arial" w:cs="arial"/>
          <w:color w:val="000000"/>
          <w:sz w:val="20"/>
          <w:lang w:val="en-US" w:eastAsia="en-US" w:bidi="ar-SA"/>
        </w:rPr>
        <w:t xml:space="preserve"> This question is important in the immigration context because a petitioner may file in one district or jurisdiction and subsequently be detained or moved by the immigration agency to another district or jurisdiction.</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the custodian must be, for example, the District Director where the petitioner is detained, a distant court may not be able to reach the custodian for service of process, and would not have personal jurisdiction over the respondent. Thus, the distant court could not hear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action against that respondent.</w:t>
      </w:r>
      <w:r>
        <w:rPr>
          <w:rFonts w:ascii="arial" w:eastAsia="arial" w:hAnsi="arial" w:cs="arial"/>
          <w:sz w:val="20"/>
          <w:vertAlign w:val="superscript"/>
          <w:lang w:val="en-US" w:eastAsia="en-US" w:bidi="ar-SA"/>
        </w:rPr>
        <w:footnoteReference w:customMarkFollows="1" w:id="180"/>
        <w:t xml:space="preserve">180</w:t>
      </w:r>
      <w:r>
        <w:rPr>
          <w:rFonts w:ascii="arial" w:eastAsia="arial" w:hAnsi="arial" w:cs="arial"/>
          <w:color w:val="000000"/>
          <w:sz w:val="20"/>
          <w:lang w:val="en-US" w:eastAsia="en-US" w:bidi="ar-SA"/>
        </w:rPr>
        <w:t xml:space="preserve"> On the other hand, if the Attorney General is properly the custodian, the proceedings can continue when the petitioner is transferred to or resides in another location.</w:t>
      </w:r>
      <w:r>
        <w:rPr>
          <w:rFonts w:ascii="arial" w:eastAsia="arial" w:hAnsi="arial" w:cs="arial"/>
          <w:sz w:val="20"/>
          <w:vertAlign w:val="superscript"/>
          <w:lang w:val="en-US" w:eastAsia="en-US" w:bidi="ar-SA"/>
        </w:rPr>
        <w:footnoteReference w:customMarkFollows="1" w:id="181"/>
        <w:t xml:space="preserve">181</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 District Director in a distant location may sometimes be an appropriate respondent in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action. This is true where there is a “substantial relationship” between that party and the jurisdiction.</w:t>
      </w:r>
      <w:r>
        <w:rPr>
          <w:rFonts w:ascii="arial" w:eastAsia="arial" w:hAnsi="arial" w:cs="arial"/>
          <w:sz w:val="20"/>
          <w:vertAlign w:val="superscript"/>
          <w:lang w:val="en-US" w:eastAsia="en-US" w:bidi="ar-SA"/>
        </w:rPr>
        <w:footnoteReference w:customMarkFollows="1" w:id="182"/>
        <w:t xml:space="preserve">182</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courts disagree over whether the Attorney General or the Secretary of Homeland Security can be the custodian of a person detained anywhere, or whether the custodian must be the person with day-to-day control over the petitioner.</w:t>
      </w:r>
      <w:r>
        <w:rPr>
          <w:rFonts w:ascii="arial" w:eastAsia="arial" w:hAnsi="arial" w:cs="arial"/>
          <w:sz w:val="20"/>
          <w:vertAlign w:val="superscript"/>
          <w:lang w:val="en-US" w:eastAsia="en-US" w:bidi="ar-SA"/>
        </w:rPr>
        <w:footnoteReference w:customMarkFollows="1" w:id="183"/>
        <w:t xml:space="preserve">183</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Supreme Court has declined to resolve the question, holding in </w:t>
      </w:r>
      <w:r>
        <w:rPr>
          <w:rFonts w:ascii="arial" w:eastAsia="arial" w:hAnsi="arial" w:cs="arial"/>
          <w:i/>
          <w:color w:val="000000"/>
          <w:sz w:val="20"/>
          <w:lang w:val="en-US" w:eastAsia="en-US" w:bidi="ar-SA"/>
        </w:rPr>
        <w:t>Rumsfeld v. Padilla</w:t>
      </w:r>
      <w:r>
        <w:rPr>
          <w:rFonts w:ascii="arial" w:eastAsia="arial" w:hAnsi="arial" w:cs="arial"/>
          <w:color w:val="000000"/>
          <w:sz w:val="20"/>
          <w:lang w:val="en-US" w:eastAsia="en-US" w:bidi="ar-SA"/>
        </w:rPr>
        <w:t xml:space="preserve"> that “we [previously] left open the question whether the Attorney General is a proper respondent to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filed by an alien detained pending deportation. … Because the issue is not before us today, we again decline to resolve it.”</w:t>
      </w:r>
      <w:r>
        <w:rPr>
          <w:rFonts w:ascii="arial" w:eastAsia="arial" w:hAnsi="arial" w:cs="arial"/>
          <w:sz w:val="20"/>
          <w:vertAlign w:val="superscript"/>
          <w:lang w:val="en-US" w:eastAsia="en-US" w:bidi="ar-SA"/>
        </w:rPr>
        <w:footnoteReference w:customMarkFollows="1" w:id="184"/>
        <w:t xml:space="preserve">184</w:t>
      </w:r>
    </w:p>
    <w:p>
      <w:pPr>
        <w:rPr>
          <w:rFonts w:ascii="arial" w:eastAsia="arial" w:hAnsi="arial" w:cs="arial"/>
          <w:sz w:val="20"/>
          <w:lang w:val="en-US" w:eastAsia="en-US" w:bidi="ar-SA"/>
        </w:rPr>
      </w:pPr>
      <w:bookmarkStart w:id="71" w:name="Bookmark_TAAFAACAAC"/>
      <w:bookmarkEnd w:id="71"/>
      <w:bookmarkStart w:id="72" w:name="Bookmark__5_b_ii"/>
      <w:bookmarkEnd w:id="72"/>
    </w:p>
    <w:p>
      <w:pPr>
        <w:numPr>
          <w:numId w:val="42"/>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Attorney General/DHS Is Not the Proper Custodian</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majority of circuit courts that have considered the issue have held that the proper custodian is not the Attorney General, but is rather the official in charge of the facility that has day-to-day control of the detainee.</w:t>
      </w:r>
      <w:r>
        <w:rPr>
          <w:rFonts w:ascii="arial" w:eastAsia="arial" w:hAnsi="arial" w:cs="arial"/>
          <w:sz w:val="20"/>
          <w:vertAlign w:val="superscript"/>
          <w:lang w:val="en-US" w:eastAsia="en-US" w:bidi="ar-SA"/>
        </w:rPr>
        <w:footnoteReference w:customMarkFollows="1" w:id="185"/>
        <w:t xml:space="preserve">185</w:t>
      </w:r>
      <w:r>
        <w:rPr>
          <w:rFonts w:ascii="arial" w:eastAsia="arial" w:hAnsi="arial" w:cs="arial"/>
          <w:color w:val="000000"/>
          <w:sz w:val="20"/>
          <w:lang w:val="en-US" w:eastAsia="en-US" w:bidi="ar-SA"/>
        </w:rPr>
        <w:t xml:space="preserve"> If the Attorney General or Secretary of Homeland Security is considered the proper custodian, he or she could be the custodian of every noncitizen and prisoner in custody, because ultimately he or she controls all the District Directors and prisons.</w:t>
      </w:r>
      <w:r>
        <w:rPr>
          <w:rFonts w:ascii="arial" w:eastAsia="arial" w:hAnsi="arial" w:cs="arial"/>
          <w:sz w:val="20"/>
          <w:vertAlign w:val="superscript"/>
          <w:lang w:val="en-US" w:eastAsia="en-US" w:bidi="ar-SA"/>
        </w:rPr>
        <w:footnoteReference w:customMarkFollows="1" w:id="186"/>
        <w:t xml:space="preserve">186</w:t>
      </w:r>
      <w:r>
        <w:rPr>
          <w:rFonts w:ascii="arial" w:eastAsia="arial" w:hAnsi="arial" w:cs="arial"/>
          <w:color w:val="000000"/>
          <w:sz w:val="20"/>
          <w:lang w:val="en-US" w:eastAsia="en-US" w:bidi="ar-SA"/>
        </w:rPr>
        <w:t xml:space="preserve"> In one interpretation, the Attorney General or Secretary of Homeland Security may be the proper respondent in the limited circumstance where a transfer to the court with jurisdiction over the day-to-day custodian would mean effective denial of meaningful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review because of the backlog of cases there, or where such a transfer gives rise to a situation that is similarly compelling.</w:t>
      </w:r>
      <w:r>
        <w:rPr>
          <w:rFonts w:ascii="arial" w:eastAsia="arial" w:hAnsi="arial" w:cs="arial"/>
          <w:sz w:val="20"/>
          <w:vertAlign w:val="superscript"/>
          <w:lang w:val="en-US" w:eastAsia="en-US" w:bidi="ar-SA"/>
        </w:rPr>
        <w:footnoteReference w:customMarkFollows="1" w:id="187"/>
        <w:t xml:space="preserve">187</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the proper custodian is not the Attorney General, the question remains whether the proper custodian is the state or local prison official where the petitioner is detained, or whether a Department of Homeland Security (DHS) (generally Immigration and Customs Enforcement (ICE)) official is the proper custodian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purposes. The courts that have considered this question have ruled in different ways. Some have held that the DHS official must be a named respondent because he or she is the only individual who has authority over bond and detention issues in immigration cases.</w:t>
      </w:r>
      <w:r>
        <w:rPr>
          <w:rFonts w:ascii="arial" w:eastAsia="arial" w:hAnsi="arial" w:cs="arial"/>
          <w:sz w:val="20"/>
          <w:vertAlign w:val="superscript"/>
          <w:lang w:val="en-US" w:eastAsia="en-US" w:bidi="ar-SA"/>
        </w:rPr>
        <w:footnoteReference w:customMarkFollows="1" w:id="188"/>
        <w:t xml:space="preserve">188</w:t>
      </w:r>
      <w:r>
        <w:rPr>
          <w:rFonts w:ascii="arial" w:eastAsia="arial" w:hAnsi="arial" w:cs="arial"/>
          <w:color w:val="000000"/>
          <w:sz w:val="20"/>
          <w:lang w:val="en-US" w:eastAsia="en-US" w:bidi="ar-SA"/>
        </w:rPr>
        <w:t xml:space="preserve"> Other courts have held that the warden of the detention facility is the proper custodian.</w:t>
      </w:r>
      <w:r>
        <w:rPr>
          <w:rFonts w:ascii="arial" w:eastAsia="arial" w:hAnsi="arial" w:cs="arial"/>
          <w:sz w:val="20"/>
          <w:vertAlign w:val="superscript"/>
          <w:lang w:val="en-US" w:eastAsia="en-US" w:bidi="ar-SA"/>
        </w:rPr>
        <w:footnoteReference w:customMarkFollows="1" w:id="189"/>
        <w:t xml:space="preserve">189</w:t>
      </w:r>
    </w:p>
    <w:p>
      <w:pPr>
        <w:rPr>
          <w:rFonts w:ascii="arial" w:eastAsia="arial" w:hAnsi="arial" w:cs="arial"/>
          <w:sz w:val="20"/>
          <w:lang w:val="en-US" w:eastAsia="en-US" w:bidi="ar-SA"/>
        </w:rPr>
      </w:pPr>
      <w:bookmarkStart w:id="73" w:name="Bookmark_TAAFAACAAD"/>
      <w:bookmarkEnd w:id="73"/>
      <w:bookmarkStart w:id="74" w:name="Bookmark__5_b_iii"/>
      <w:bookmarkEnd w:id="74"/>
    </w:p>
    <w:p>
      <w:pPr>
        <w:numPr>
          <w:numId w:val="43"/>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Attorney General/DHS Is the Proper Custodian</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Several courts continue to hold that the Attorney General or Secretary of Homeland Security is the proper custodian in immigration detention cases.</w:t>
      </w:r>
      <w:r>
        <w:rPr>
          <w:rFonts w:ascii="arial" w:eastAsia="arial" w:hAnsi="arial" w:cs="arial"/>
          <w:sz w:val="20"/>
          <w:vertAlign w:val="superscript"/>
          <w:lang w:val="en-US" w:eastAsia="en-US" w:bidi="ar-SA"/>
        </w:rPr>
        <w:footnoteReference w:customMarkFollows="1" w:id="190"/>
        <w:t xml:space="preserve">190</w:t>
      </w:r>
      <w:r>
        <w:rPr>
          <w:rFonts w:ascii="arial" w:eastAsia="arial" w:hAnsi="arial" w:cs="arial"/>
          <w:color w:val="000000"/>
          <w:sz w:val="20"/>
          <w:lang w:val="en-US" w:eastAsia="en-US" w:bidi="ar-SA"/>
        </w:rPr>
        <w:t xml:space="preserve"> Some of these courts have reasoned that because the officials, in their official capacity, transact business within the court’s territorial jurisdiction, they can be reached by service of process.</w:t>
      </w:r>
      <w:r>
        <w:rPr>
          <w:rFonts w:ascii="arial" w:eastAsia="arial" w:hAnsi="arial" w:cs="arial"/>
          <w:sz w:val="20"/>
          <w:vertAlign w:val="superscript"/>
          <w:lang w:val="en-US" w:eastAsia="en-US" w:bidi="ar-SA"/>
        </w:rPr>
        <w:footnoteReference w:customMarkFollows="1" w:id="191"/>
        <w:t xml:space="preserve">191</w:t>
      </w:r>
      <w:r>
        <w:rPr>
          <w:rFonts w:ascii="arial" w:eastAsia="arial" w:hAnsi="arial" w:cs="arial"/>
          <w:color w:val="000000"/>
          <w:sz w:val="20"/>
          <w:lang w:val="en-US" w:eastAsia="en-US" w:bidi="ar-SA"/>
        </w:rPr>
        <w:t xml:space="preserve"> Furthermore, because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 generally challenge the imposition, rather than the execution, of particular policies, it is the actions of the Attorney General or Secretary, not those of the warden of any particular facility, that are being challenged.</w:t>
      </w:r>
      <w:r>
        <w:rPr>
          <w:rFonts w:ascii="arial" w:eastAsia="arial" w:hAnsi="arial" w:cs="arial"/>
          <w:sz w:val="20"/>
          <w:vertAlign w:val="superscript"/>
          <w:lang w:val="en-US" w:eastAsia="en-US" w:bidi="ar-SA"/>
        </w:rPr>
        <w:footnoteReference w:customMarkFollows="1" w:id="192"/>
        <w:t xml:space="preserve">192</w:t>
      </w:r>
      <w:r>
        <w:rPr>
          <w:rFonts w:ascii="arial" w:eastAsia="arial" w:hAnsi="arial" w:cs="arial"/>
          <w:color w:val="000000"/>
          <w:sz w:val="20"/>
          <w:lang w:val="en-US" w:eastAsia="en-US" w:bidi="ar-SA"/>
        </w:rPr>
        <w:t xml:space="preserve"> Courts have also noted that the Attorney General or Secretary could direct his or her subordinates to carry out any order to produce or release the petitioner.</w:t>
      </w:r>
      <w:r>
        <w:rPr>
          <w:rFonts w:ascii="arial" w:eastAsia="arial" w:hAnsi="arial" w:cs="arial"/>
          <w:sz w:val="20"/>
          <w:vertAlign w:val="superscript"/>
          <w:lang w:val="en-US" w:eastAsia="en-US" w:bidi="ar-SA"/>
        </w:rPr>
        <w:footnoteReference w:customMarkFollows="1" w:id="193"/>
        <w:t xml:space="preserve">193</w:t>
      </w:r>
      <w:r>
        <w:rPr>
          <w:rFonts w:ascii="arial" w:eastAsia="arial" w:hAnsi="arial" w:cs="arial"/>
          <w:color w:val="000000"/>
          <w:sz w:val="20"/>
          <w:lang w:val="en-US" w:eastAsia="en-US" w:bidi="ar-SA"/>
        </w:rPr>
        <w:t xml:space="preserve"> These courts also reason that if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 could be heard only where the petitioner was detained, the Attorney General or Secretary “could seriously undermine the remedy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by detaining illegally a large group of persons in one facility so that the resulting torrent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petitions would overwhelm the local court.”</w:t>
      </w:r>
      <w:r>
        <w:rPr>
          <w:rFonts w:ascii="arial" w:eastAsia="arial" w:hAnsi="arial" w:cs="arial"/>
          <w:sz w:val="20"/>
          <w:vertAlign w:val="superscript"/>
          <w:lang w:val="en-US" w:eastAsia="en-US" w:bidi="ar-SA"/>
        </w:rPr>
        <w:footnoteReference w:customMarkFollows="1" w:id="194"/>
        <w:t xml:space="preserve">194</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reorganization of immigration enforcement duties under the DHS has made the proper custodian even less clear. The Ninth Circuit has ruled that “[u]ntil the exact parameters of the Attorney General’s power to detain aliens under the new Homeland Security scheme are decisively delineated, we believe it makes sense for immigration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petitioners to name the Attorney General </w:t>
      </w:r>
      <w:r>
        <w:rPr>
          <w:rFonts w:ascii="arial" w:eastAsia="arial" w:hAnsi="arial" w:cs="arial"/>
          <w:i/>
          <w:color w:val="000000"/>
          <w:sz w:val="20"/>
          <w:lang w:val="en-US" w:eastAsia="en-US" w:bidi="ar-SA"/>
        </w:rPr>
        <w:t>in addition</w:t>
      </w:r>
      <w:r>
        <w:rPr>
          <w:rFonts w:ascii="arial" w:eastAsia="arial" w:hAnsi="arial" w:cs="arial"/>
          <w:color w:val="000000"/>
          <w:sz w:val="20"/>
          <w:lang w:val="en-US" w:eastAsia="en-US" w:bidi="ar-SA"/>
        </w:rPr>
        <w:t xml:space="preserve"> to naming the DHS Secretary as respondents in their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w:t>
      </w:r>
      <w:r>
        <w:rPr>
          <w:rFonts w:ascii="arial" w:eastAsia="arial" w:hAnsi="arial" w:cs="arial"/>
          <w:sz w:val="20"/>
          <w:vertAlign w:val="superscript"/>
          <w:lang w:val="en-US" w:eastAsia="en-US" w:bidi="ar-SA"/>
        </w:rPr>
        <w:footnoteReference w:customMarkFollows="1" w:id="195"/>
        <w:t xml:space="preserve">195</w:t>
      </w:r>
    </w:p>
    <w:p>
      <w:pPr>
        <w:rPr>
          <w:rFonts w:ascii="arial" w:eastAsia="arial" w:hAnsi="arial" w:cs="arial"/>
          <w:sz w:val="20"/>
          <w:lang w:val="en-US" w:eastAsia="en-US" w:bidi="ar-SA"/>
        </w:rPr>
      </w:pPr>
      <w:bookmarkStart w:id="75" w:name="Bookmark_TAAFAAD"/>
      <w:bookmarkEnd w:id="75"/>
      <w:bookmarkStart w:id="76" w:name="Bookmark__5_c"/>
      <w:bookmarkEnd w:id="76"/>
    </w:p>
    <w:p>
      <w:pPr>
        <w:numPr>
          <w:numId w:val="44"/>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Jurisdiction After Transfer of Detainee</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Personal jurisdiction is fixed at the time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is filed.</w:t>
      </w:r>
      <w:r>
        <w:rPr>
          <w:rFonts w:ascii="arial" w:eastAsia="arial" w:hAnsi="arial" w:cs="arial"/>
          <w:sz w:val="20"/>
          <w:vertAlign w:val="superscript"/>
          <w:lang w:val="en-US" w:eastAsia="en-US" w:bidi="ar-SA"/>
        </w:rPr>
        <w:footnoteReference w:customMarkFollows="1" w:id="196"/>
        <w:t xml:space="preserve">196</w:t>
      </w:r>
      <w:r>
        <w:rPr>
          <w:rFonts w:ascii="arial" w:eastAsia="arial" w:hAnsi="arial" w:cs="arial"/>
          <w:color w:val="000000"/>
          <w:sz w:val="20"/>
          <w:lang w:val="en-US" w:eastAsia="en-US" w:bidi="ar-SA"/>
        </w:rPr>
        <w:t xml:space="preserve"> Where the district court had jurisdiction when the petition was filed, but the petitioner was transferred out of the territorial jurisdiction of the court, the court nevertheless retained jurisdiction because a custodian remained there.</w:t>
      </w:r>
      <w:r>
        <w:rPr>
          <w:rFonts w:ascii="arial" w:eastAsia="arial" w:hAnsi="arial" w:cs="arial"/>
          <w:sz w:val="20"/>
          <w:vertAlign w:val="superscript"/>
          <w:lang w:val="en-US" w:eastAsia="en-US" w:bidi="ar-SA"/>
        </w:rPr>
        <w:footnoteReference w:customMarkFollows="1" w:id="197"/>
        <w:t xml:space="preserve">197</w:t>
      </w:r>
      <w:r>
        <w:rPr>
          <w:rFonts w:ascii="arial" w:eastAsia="arial" w:hAnsi="arial" w:cs="arial"/>
          <w:color w:val="000000"/>
          <w:sz w:val="20"/>
          <w:lang w:val="en-US" w:eastAsia="en-US" w:bidi="ar-SA"/>
        </w:rPr>
        <w:t xml:space="preserve"> The court’s jurisdiction should not be defeated by the transfer of the petitioner out of the court’s territorial jurisdiction, even if that transfer had nothing to do with the pending petition.</w:t>
      </w:r>
      <w:r>
        <w:rPr>
          <w:rFonts w:ascii="arial" w:eastAsia="arial" w:hAnsi="arial" w:cs="arial"/>
          <w:sz w:val="20"/>
          <w:vertAlign w:val="superscript"/>
          <w:lang w:val="en-US" w:eastAsia="en-US" w:bidi="ar-SA"/>
        </w:rPr>
        <w:footnoteReference w:customMarkFollows="1" w:id="198"/>
        <w:t xml:space="preserve">198</w:t>
      </w:r>
      <w:r>
        <w:rPr>
          <w:rFonts w:ascii="arial" w:eastAsia="arial" w:hAnsi="arial" w:cs="arial"/>
          <w:color w:val="000000"/>
          <w:sz w:val="20"/>
          <w:lang w:val="en-US" w:eastAsia="en-US" w:bidi="ar-SA"/>
        </w:rPr>
        <w:t xml:space="preserve"> In fact, the petitioner’s removal from the district court after the filing of a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had been served and before its disposition might be punishable as a contempt of court:</w:t>
      </w:r>
      <w:r>
        <w:rPr>
          <w:rFonts w:ascii="arial" w:eastAsia="arial" w:hAnsi="arial" w:cs="arial"/>
          <w:sz w:val="20"/>
          <w:vertAlign w:val="superscript"/>
          <w:lang w:val="en-US" w:eastAsia="en-US" w:bidi="ar-SA"/>
        </w:rPr>
        <w:footnoteReference w:customMarkFollows="1" w:id="199"/>
        <w:t xml:space="preserve">199</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A court of the United States shall have power to punish by fine or imprisonment, at its discretion, such contempt of its authority, and none others, as</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(1) Misbehavior of any person in its presence or so near thereto as to obstruct the administration of justice;</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(2) Misbehavior of any of its officers in their official transactions;</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(3) Disobedience or resistance to its lawful writ, process, order, rule, decree, or command.</w:t>
      </w:r>
    </w:p>
    <w:p>
      <w:pPr>
        <w:rPr>
          <w:rFonts w:ascii="arial" w:eastAsia="arial" w:hAnsi="arial" w:cs="arial"/>
          <w:sz w:val="20"/>
          <w:lang w:val="en-US" w:eastAsia="en-US" w:bidi="ar-SA"/>
        </w:rPr>
      </w:pPr>
      <w:bookmarkStart w:id="77" w:name="Bookmark_TAAFAAE"/>
      <w:bookmarkEnd w:id="77"/>
      <w:bookmarkStart w:id="78" w:name="Bookmark__5_d"/>
      <w:bookmarkEnd w:id="78"/>
    </w:p>
    <w:p>
      <w:pPr>
        <w:numPr>
          <w:numId w:val="45"/>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Venue—Choice of Forum</w:t>
      </w:r>
      <w:r>
        <w:rPr>
          <w:rFonts w:ascii="arial" w:eastAsia="arial" w:hAnsi="arial" w:cs="arial"/>
          <w:sz w:val="20"/>
          <w:vertAlign w:val="superscript"/>
          <w:lang w:val="en-US" w:eastAsia="en-US" w:bidi="ar-SA"/>
        </w:rPr>
        <w:footnoteReference w:customMarkFollows="1" w:id="200"/>
        <w:t xml:space="preserve">200</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federal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statute broadly confers jurisdiction on the Supreme Court, any justice thereof, the district courts, and any circuit judge within their respective jurisdictions.</w:t>
      </w:r>
      <w:r>
        <w:rPr>
          <w:rFonts w:ascii="arial" w:eastAsia="arial" w:hAnsi="arial" w:cs="arial"/>
          <w:sz w:val="20"/>
          <w:vertAlign w:val="superscript"/>
          <w:lang w:val="en-US" w:eastAsia="en-US" w:bidi="ar-SA"/>
        </w:rPr>
        <w:footnoteReference w:customMarkFollows="1" w:id="201"/>
        <w:t xml:space="preserve">201</w:t>
      </w:r>
      <w:r>
        <w:rPr>
          <w:rFonts w:ascii="arial" w:eastAsia="arial" w:hAnsi="arial" w:cs="arial"/>
          <w:color w:val="000000"/>
          <w:sz w:val="20"/>
          <w:lang w:val="en-US" w:eastAsia="en-US" w:bidi="ar-SA"/>
        </w:rPr>
        <w:t xml:space="preserve"> In practice, however,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 almost invariably originate in the district courts, as other judicial agencies mentioned in the statute will intervene only upon a strong showing of reasons for not applying to the district court.</w:t>
      </w:r>
      <w:r>
        <w:rPr>
          <w:rFonts w:ascii="arial" w:eastAsia="arial" w:hAnsi="arial" w:cs="arial"/>
          <w:sz w:val="20"/>
          <w:vertAlign w:val="superscript"/>
          <w:lang w:val="en-US" w:eastAsia="en-US" w:bidi="ar-SA"/>
        </w:rPr>
        <w:footnoteReference w:customMarkFollows="1" w:id="202"/>
        <w:t xml:space="preserve">202</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 district court’s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jurisdiction is not limited to cases where the petitioner is confined within its territorial jurisdiction.</w:t>
      </w:r>
      <w:r>
        <w:rPr>
          <w:rFonts w:ascii="arial" w:eastAsia="arial" w:hAnsi="arial" w:cs="arial"/>
          <w:sz w:val="20"/>
          <w:vertAlign w:val="superscript"/>
          <w:lang w:val="en-US" w:eastAsia="en-US" w:bidi="ar-SA"/>
        </w:rPr>
        <w:footnoteReference w:customMarkFollows="1" w:id="203"/>
        <w:t xml:space="preserve">203</w:t>
      </w:r>
      <w:r>
        <w:rPr>
          <w:rFonts w:ascii="arial" w:eastAsia="arial" w:hAnsi="arial" w:cs="arial"/>
          <w:color w:val="000000"/>
          <w:sz w:val="20"/>
          <w:lang w:val="en-US" w:eastAsia="en-US" w:bidi="ar-SA"/>
        </w:rPr>
        <w:t xml:space="preserve"> This rule is motivated in part by a desire to ensure that disputes can be resolved in the most convenient forum and in part to avoid the disproportionate burden on districts in which large numbers of prisoners are confined.</w:t>
      </w:r>
      <w:r>
        <w:rPr>
          <w:rFonts w:ascii="arial" w:eastAsia="arial" w:hAnsi="arial" w:cs="arial"/>
          <w:sz w:val="20"/>
          <w:vertAlign w:val="superscript"/>
          <w:lang w:val="en-US" w:eastAsia="en-US" w:bidi="ar-SA"/>
        </w:rPr>
        <w:footnoteReference w:customMarkFollows="1" w:id="204"/>
        <w:t xml:space="preserve">204</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Several courts have considered combinations of the following factors to find proper venue in a district court that normally lacks jurisdiction over the location where the petitioner is in custody:</w:t>
      </w:r>
    </w:p>
    <w:p>
      <w:pPr>
        <w:numPr>
          <w:numId w:val="46"/>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petitioner lived and continues to have family in or near the district;</w:t>
      </w:r>
    </w:p>
    <w:p>
      <w:pPr>
        <w:numPr>
          <w:numId w:val="47"/>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petitioner has counsel in the district;</w:t>
      </w:r>
    </w:p>
    <w:p>
      <w:pPr>
        <w:numPr>
          <w:numId w:val="48"/>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criminal activity or a conviction underlying the order of removal occurred in the district or state;</w:t>
      </w:r>
    </w:p>
    <w:p>
      <w:pPr>
        <w:numPr>
          <w:numId w:val="49"/>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petitioner’s deportation/removal proceedings or first contact with the immigration authorities occurred in the district; and/or</w:t>
      </w:r>
    </w:p>
    <w:p>
      <w:pPr>
        <w:numPr>
          <w:numId w:val="50"/>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petitioner had no connection to the jurisdiction in which she is detained before being sent to a facility there.</w:t>
      </w:r>
      <w:r>
        <w:rPr>
          <w:rFonts w:ascii="arial" w:eastAsia="arial" w:hAnsi="arial" w:cs="arial"/>
          <w:sz w:val="20"/>
          <w:vertAlign w:val="superscript"/>
          <w:lang w:val="en-US" w:eastAsia="en-US" w:bidi="ar-SA"/>
        </w:rPr>
        <w:footnoteReference w:customMarkFollows="1" w:id="205"/>
        <w:t xml:space="preserve">205</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Additional factors for determining proper venue may include where the material events at issue took place, where records and witnesses relevant to the petitioner’s claim are to be found, and the convenience of the forum for both the petitioner and the respondent.</w:t>
      </w:r>
      <w:r>
        <w:rPr>
          <w:rFonts w:ascii="arial" w:eastAsia="arial" w:hAnsi="arial" w:cs="arial"/>
          <w:sz w:val="20"/>
          <w:vertAlign w:val="superscript"/>
          <w:lang w:val="en-US" w:eastAsia="en-US" w:bidi="ar-SA"/>
        </w:rPr>
        <w:footnoteReference w:customMarkFollows="1" w:id="206"/>
        <w:t xml:space="preserve">206</w:t>
      </w:r>
      <w:r>
        <w:rPr>
          <w:rFonts w:ascii="arial" w:eastAsia="arial" w:hAnsi="arial" w:cs="arial"/>
          <w:color w:val="000000"/>
          <w:sz w:val="20"/>
          <w:lang w:val="en-US" w:eastAsia="en-US" w:bidi="ar-SA"/>
        </w:rPr>
        <w:t xml:space="preserve"> Cases may be transferred from circuit courts to the district courts, or vice versa, to satisfy jurisdictional criteria and statutory bars.</w:t>
      </w:r>
      <w:r>
        <w:rPr>
          <w:rFonts w:ascii="arial" w:eastAsia="arial" w:hAnsi="arial" w:cs="arial"/>
          <w:sz w:val="20"/>
          <w:vertAlign w:val="superscript"/>
          <w:lang w:val="en-US" w:eastAsia="en-US" w:bidi="ar-SA"/>
        </w:rPr>
        <w:footnoteReference w:customMarkFollows="1" w:id="207"/>
        <w:t xml:space="preserve">207</w:t>
      </w:r>
    </w:p>
    <w:p>
      <w:pPr>
        <w:rPr>
          <w:rFonts w:ascii="arial" w:eastAsia="arial" w:hAnsi="arial" w:cs="arial"/>
          <w:sz w:val="20"/>
          <w:lang w:val="en-US" w:eastAsia="en-US" w:bidi="ar-SA"/>
        </w:rPr>
      </w:pPr>
      <w:bookmarkStart w:id="79" w:name="Bookmark_TAAG"/>
      <w:bookmarkEnd w:id="79"/>
      <w:bookmarkStart w:id="80" w:name="Bookmark__6"/>
      <w:bookmarkEnd w:id="80"/>
    </w:p>
    <w:p>
      <w:pPr>
        <w:numPr>
          <w:numId w:val="5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Exhaustion</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courts are divided on whether exhaustion of administrative remedies is required in immigration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cases. Review of final orders of removal requires exhaustion under </w:t>
      </w:r>
      <w:hyperlink r:id="rId22" w:history="1">
        <w:r>
          <w:rPr>
            <w:rFonts w:ascii="arial" w:eastAsia="arial" w:hAnsi="arial" w:cs="arial"/>
            <w:i/>
            <w:color w:val="0077CC"/>
            <w:sz w:val="20"/>
            <w:u w:val="single"/>
            <w:shd w:val="clear" w:color="auto" w:fill="FFFFFF"/>
            <w:lang w:val="en-US" w:eastAsia="en-US" w:bidi="ar-SA"/>
          </w:rPr>
          <w:t>INA § 242(d)(1)</w:t>
        </w:r>
      </w:hyperlink>
      <w:r>
        <w:rPr>
          <w:rFonts w:ascii="arial" w:eastAsia="arial" w:hAnsi="arial" w:cs="arial"/>
          <w:color w:val="000000"/>
          <w:sz w:val="20"/>
          <w:lang w:val="en-US" w:eastAsia="en-US" w:bidi="ar-SA"/>
        </w:rPr>
        <w:t xml:space="preserve">. Some courts have therefore held that where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involves review related to a final order, exhaustion is required.</w:t>
      </w:r>
      <w:r>
        <w:rPr>
          <w:rFonts w:ascii="arial" w:eastAsia="arial" w:hAnsi="arial" w:cs="arial"/>
          <w:sz w:val="20"/>
          <w:vertAlign w:val="superscript"/>
          <w:lang w:val="en-US" w:eastAsia="en-US" w:bidi="ar-SA"/>
        </w:rPr>
        <w:footnoteReference w:customMarkFollows="1" w:id="208"/>
        <w:t xml:space="preserve">208</w:t>
      </w:r>
      <w:r>
        <w:rPr>
          <w:rFonts w:ascii="arial" w:eastAsia="arial" w:hAnsi="arial" w:cs="arial"/>
          <w:color w:val="000000"/>
          <w:sz w:val="20"/>
          <w:lang w:val="en-US" w:eastAsia="en-US" w:bidi="ar-SA"/>
        </w:rPr>
        <w:t xml:space="preserve"> Other courts have held that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of constitutional issues and detention issues is outside the scope of § 242(d) and that exhaustion is not required.</w:t>
      </w:r>
      <w:r>
        <w:rPr>
          <w:rFonts w:ascii="arial" w:eastAsia="arial" w:hAnsi="arial" w:cs="arial"/>
          <w:sz w:val="20"/>
          <w:vertAlign w:val="superscript"/>
          <w:lang w:val="en-US" w:eastAsia="en-US" w:bidi="ar-SA"/>
        </w:rPr>
        <w:footnoteReference w:customMarkFollows="1" w:id="209"/>
        <w:t xml:space="preserve">209</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 2241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exhaustion is “a prudential rather than jurisdictional requirement”</w:t>
      </w:r>
      <w:r>
        <w:rPr>
          <w:rFonts w:ascii="arial" w:eastAsia="arial" w:hAnsi="arial" w:cs="arial"/>
          <w:sz w:val="20"/>
          <w:vertAlign w:val="superscript"/>
          <w:lang w:val="en-US" w:eastAsia="en-US" w:bidi="ar-SA"/>
        </w:rPr>
        <w:footnoteReference w:customMarkFollows="1" w:id="210"/>
        <w:t xml:space="preserve">210</w:t>
      </w:r>
      <w:r>
        <w:rPr>
          <w:rFonts w:ascii="arial" w:eastAsia="arial" w:hAnsi="arial" w:cs="arial"/>
          <w:color w:val="000000"/>
          <w:sz w:val="20"/>
          <w:lang w:val="en-US" w:eastAsia="en-US" w:bidi="ar-SA"/>
        </w:rPr>
        <w:t xml:space="preserve"> and can be waived by the court. The Ninth Circuit addressed the factors that it considers in determining whether to favorably exercise its discretion and waive the exhaustion requirement:</w:t>
      </w:r>
      <w:r>
        <w:rPr>
          <w:rFonts w:ascii="arial" w:eastAsia="arial" w:hAnsi="arial" w:cs="arial"/>
          <w:sz w:val="20"/>
          <w:vertAlign w:val="superscript"/>
          <w:lang w:val="en-US" w:eastAsia="en-US" w:bidi="ar-SA"/>
        </w:rPr>
        <w:footnoteReference w:customMarkFollows="1" w:id="211"/>
        <w:t xml:space="preserve">211</w:t>
      </w:r>
    </w:p>
    <w:p>
      <w:pPr>
        <w:numPr>
          <w:numId w:val="52"/>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Is the record of administrative appeal germane to the legal question under review?</w:t>
      </w:r>
    </w:p>
    <w:p>
      <w:pPr>
        <w:numPr>
          <w:numId w:val="53"/>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Will the relaxation of the exhaustion requirement encourage future petitioners to bypass administrative review?</w:t>
      </w:r>
    </w:p>
    <w:p>
      <w:pPr>
        <w:numPr>
          <w:numId w:val="54"/>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Would administrative review preclude the need for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question of exhaustion is sometimes confused with the statutory requirement requiring review of final orders of removal in the courts of appeals rather than via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w:t>
      </w:r>
      <w:r>
        <w:rPr>
          <w:rFonts w:ascii="arial" w:eastAsia="arial" w:hAnsi="arial" w:cs="arial"/>
          <w:sz w:val="20"/>
          <w:vertAlign w:val="superscript"/>
          <w:lang w:val="en-US" w:eastAsia="en-US" w:bidi="ar-SA"/>
        </w:rPr>
        <w:footnoteReference w:customMarkFollows="1" w:id="212"/>
        <w:t xml:space="preserve">212</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a complete discussion of exhaustion of administrative remedies in the immigration context, see </w:t>
      </w:r>
      <w:hyperlink r:id="rId28" w:history="1">
        <w:r>
          <w:rPr>
            <w:rFonts w:ascii="arial" w:eastAsia="arial" w:hAnsi="arial" w:cs="arial"/>
            <w:i/>
            <w:color w:val="0077CC"/>
            <w:sz w:val="20"/>
            <w:u w:val="single"/>
            <w:shd w:val="clear" w:color="auto" w:fill="FFFFFF"/>
            <w:lang w:val="en-US" w:eastAsia="en-US" w:bidi="ar-SA"/>
          </w:rPr>
          <w:t>§ 104.02</w:t>
        </w:r>
      </w:hyperlink>
      <w:r>
        <w:rPr>
          <w:rFonts w:ascii="arial" w:eastAsia="arial" w:hAnsi="arial" w:cs="arial"/>
          <w:color w:val="000000"/>
          <w:sz w:val="20"/>
          <w:lang w:val="en-US" w:eastAsia="en-US" w:bidi="ar-SA"/>
        </w:rPr>
        <w:t>, above</w:t>
      </w:r>
      <w:r>
        <w:rPr>
          <w:rFonts w:ascii="arial" w:eastAsia="arial" w:hAnsi="arial" w:cs="arial"/>
          <w:i/>
          <w:color w:val="000000"/>
          <w:sz w:val="20"/>
          <w:lang w:val="en-US" w:eastAsia="en-US" w:bidi="ar-SA"/>
        </w:rPr>
        <w:t>.</w:t>
      </w:r>
    </w:p>
    <w:p>
      <w:pPr>
        <w:rPr>
          <w:rFonts w:ascii="arial" w:eastAsia="arial" w:hAnsi="arial" w:cs="arial"/>
          <w:sz w:val="20"/>
          <w:lang w:val="en-US" w:eastAsia="en-US" w:bidi="ar-SA"/>
        </w:rPr>
      </w:pPr>
      <w:bookmarkStart w:id="81" w:name="Bookmark_TAAH"/>
      <w:bookmarkEnd w:id="81"/>
      <w:bookmarkStart w:id="82" w:name="Bookmark__7"/>
      <w:bookmarkEnd w:id="82"/>
    </w:p>
    <w:p>
      <w:pPr>
        <w:numPr>
          <w:numId w:val="55"/>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Mootness</w:t>
      </w:r>
    </w:p>
    <w:p>
      <w:pPr>
        <w:rPr>
          <w:rFonts w:ascii="arial" w:eastAsia="arial" w:hAnsi="arial" w:cs="arial"/>
          <w:sz w:val="20"/>
          <w:lang w:val="en-US" w:eastAsia="en-US" w:bidi="ar-SA"/>
        </w:rPr>
      </w:pPr>
      <w:bookmarkStart w:id="83" w:name="Bookmark_TAAHAAB"/>
      <w:bookmarkEnd w:id="83"/>
      <w:bookmarkStart w:id="84" w:name="Bookmark__7_a"/>
      <w:bookmarkEnd w:id="84"/>
    </w:p>
    <w:p>
      <w:pPr>
        <w:numPr>
          <w:numId w:val="56"/>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 may be dismissed as moot if it no longer presents a case or controversy under </w:t>
      </w:r>
      <w:hyperlink r:id="rId29" w:history="1">
        <w:r>
          <w:rPr>
            <w:rFonts w:ascii="arial" w:eastAsia="arial" w:hAnsi="arial" w:cs="arial"/>
            <w:i/>
            <w:color w:val="0077CC"/>
            <w:sz w:val="20"/>
            <w:u w:val="single"/>
            <w:shd w:val="clear" w:color="auto" w:fill="FFFFFF"/>
            <w:lang w:val="en-US" w:eastAsia="en-US" w:bidi="ar-SA"/>
          </w:rPr>
          <w:t>Article III, § 2 of the Constitution</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213"/>
        <w:t xml:space="preserve">213</w:t>
      </w:r>
      <w:r>
        <w:rPr>
          <w:rFonts w:ascii="arial" w:eastAsia="arial" w:hAnsi="arial" w:cs="arial"/>
          <w:color w:val="000000"/>
          <w:sz w:val="20"/>
          <w:lang w:val="en-US" w:eastAsia="en-US" w:bidi="ar-SA"/>
        </w:rPr>
        <w:t xml:space="preserve"> To prevent such dismissal the petitioner “must continue to have a personal stake in the outcome of the lawsuit” at the point of adjudication.</w:t>
      </w:r>
      <w:r>
        <w:rPr>
          <w:rFonts w:ascii="arial" w:eastAsia="arial" w:hAnsi="arial" w:cs="arial"/>
          <w:sz w:val="20"/>
          <w:vertAlign w:val="superscript"/>
          <w:lang w:val="en-US" w:eastAsia="en-US" w:bidi="ar-SA"/>
        </w:rPr>
        <w:footnoteReference w:customMarkFollows="1" w:id="214"/>
        <w:t xml:space="preserve">214</w:t>
      </w:r>
      <w:r>
        <w:rPr>
          <w:rFonts w:ascii="arial" w:eastAsia="arial" w:hAnsi="arial" w:cs="arial"/>
          <w:color w:val="000000"/>
          <w:sz w:val="20"/>
          <w:lang w:val="en-US" w:eastAsia="en-US" w:bidi="ar-SA"/>
        </w:rPr>
        <w:t xml:space="preserve"> The “case or controversy” requirement for preventing mootness is satisfied if the petitioner has suffered or is threatened with “an actual injury traceable to the defendant and likely to be redressed by a favorable judicial decision.”</w:t>
      </w:r>
      <w:r>
        <w:rPr>
          <w:rFonts w:ascii="arial" w:eastAsia="arial" w:hAnsi="arial" w:cs="arial"/>
          <w:sz w:val="20"/>
          <w:vertAlign w:val="superscript"/>
          <w:lang w:val="en-US" w:eastAsia="en-US" w:bidi="ar-SA"/>
        </w:rPr>
        <w:footnoteReference w:customMarkFollows="1" w:id="215"/>
        <w:t xml:space="preserve">215</w:t>
      </w:r>
      <w:r>
        <w:rPr>
          <w:rFonts w:ascii="arial" w:eastAsia="arial" w:hAnsi="arial" w:cs="arial"/>
          <w:color w:val="000000"/>
          <w:sz w:val="20"/>
          <w:lang w:val="en-US" w:eastAsia="en-US" w:bidi="ar-SA"/>
        </w:rPr>
        <w:t xml:space="preserve"> Thus, the requirement is fulfilled if the petitioner continues to suffer collateral consequences that stem from the action challenged in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w:t>
      </w:r>
      <w:r>
        <w:rPr>
          <w:rFonts w:ascii="arial" w:eastAsia="arial" w:hAnsi="arial" w:cs="arial"/>
          <w:sz w:val="20"/>
          <w:vertAlign w:val="superscript"/>
          <w:lang w:val="en-US" w:eastAsia="en-US" w:bidi="ar-SA"/>
        </w:rPr>
        <w:footnoteReference w:customMarkFollows="1" w:id="216"/>
        <w:t xml:space="preserve">216</w:t>
      </w:r>
      <w:r>
        <w:rPr>
          <w:rFonts w:ascii="arial" w:eastAsia="arial" w:hAnsi="arial" w:cs="arial"/>
          <w:color w:val="000000"/>
          <w:sz w:val="20"/>
          <w:lang w:val="en-US" w:eastAsia="en-US" w:bidi="ar-SA"/>
        </w:rPr>
        <w:t xml:space="preserve"> Mootness can also be overcome by the exception for cases that are “capable of repetition” while “evading review.”</w:t>
      </w:r>
      <w:r>
        <w:rPr>
          <w:rFonts w:ascii="arial" w:eastAsia="arial" w:hAnsi="arial" w:cs="arial"/>
          <w:sz w:val="20"/>
          <w:vertAlign w:val="superscript"/>
          <w:lang w:val="en-US" w:eastAsia="en-US" w:bidi="ar-SA"/>
        </w:rPr>
        <w:footnoteReference w:customMarkFollows="1" w:id="217"/>
        <w:t xml:space="preserve">217</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Pre-AEDPA, the INA provided that a noncitizen held in custody pursuant to an order of deportation could obtain judicial review by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w:t>
      </w:r>
      <w:r>
        <w:rPr>
          <w:rFonts w:ascii="arial" w:eastAsia="arial" w:hAnsi="arial" w:cs="arial"/>
          <w:sz w:val="20"/>
          <w:vertAlign w:val="superscript"/>
          <w:lang w:val="en-US" w:eastAsia="en-US" w:bidi="ar-SA"/>
        </w:rPr>
        <w:footnoteReference w:customMarkFollows="1" w:id="218"/>
        <w:t xml:space="preserve">218</w:t>
      </w:r>
      <w:r>
        <w:rPr>
          <w:rFonts w:ascii="arial" w:eastAsia="arial" w:hAnsi="arial" w:cs="arial"/>
          <w:color w:val="000000"/>
          <w:sz w:val="20"/>
          <w:lang w:val="en-US" w:eastAsia="en-US" w:bidi="ar-SA"/>
        </w:rPr>
        <w:t xml:space="preserve"> The INA also previously stated that an order of deportation or exclusion could not be “reviewed by any court” if the noncitizen had “departed from the United States after issuance of the order.”</w:t>
      </w:r>
      <w:r>
        <w:rPr>
          <w:rFonts w:ascii="arial" w:eastAsia="arial" w:hAnsi="arial" w:cs="arial"/>
          <w:sz w:val="20"/>
          <w:vertAlign w:val="superscript"/>
          <w:lang w:val="en-US" w:eastAsia="en-US" w:bidi="ar-SA"/>
        </w:rPr>
        <w:footnoteReference w:customMarkFollows="1" w:id="219"/>
        <w:t xml:space="preserve">219</w:t>
      </w:r>
      <w:r>
        <w:rPr>
          <w:rFonts w:ascii="arial" w:eastAsia="arial" w:hAnsi="arial" w:cs="arial"/>
          <w:color w:val="000000"/>
          <w:sz w:val="20"/>
          <w:lang w:val="en-US" w:eastAsia="en-US" w:bidi="ar-SA"/>
        </w:rPr>
        <w:t xml:space="preserve"> Nevertheless, pre-AEDPA courts recognized that deportation of the noncitizen did not moot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claim where the noncitizen would suffer collateral consequences stemming from the originally challenged practice.</w:t>
      </w:r>
      <w:r>
        <w:rPr>
          <w:rFonts w:ascii="arial" w:eastAsia="arial" w:hAnsi="arial" w:cs="arial"/>
          <w:sz w:val="20"/>
          <w:vertAlign w:val="superscript"/>
          <w:lang w:val="en-US" w:eastAsia="en-US" w:bidi="ar-SA"/>
        </w:rPr>
        <w:footnoteReference w:customMarkFollows="1" w:id="220"/>
        <w:t xml:space="preserve">220</w:t>
      </w:r>
      <w:r>
        <w:rPr>
          <w:rFonts w:ascii="arial" w:eastAsia="arial" w:hAnsi="arial" w:cs="arial"/>
          <w:color w:val="000000"/>
          <w:sz w:val="20"/>
          <w:lang w:val="en-US" w:eastAsia="en-US" w:bidi="ar-SA"/>
        </w:rPr>
        <w:t xml:space="preserve"> As discussed below, court decisions after the AEDPA continued to recognize that the presence of such consequences precludes mootness. Furthermore, courts have noted that the pre-AEDPA provisions can no longer serve as a basis to dismiss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w:t>
      </w:r>
      <w:r>
        <w:rPr>
          <w:rFonts w:ascii="arial" w:eastAsia="arial" w:hAnsi="arial" w:cs="arial"/>
          <w:sz w:val="20"/>
          <w:vertAlign w:val="superscript"/>
          <w:lang w:val="en-US" w:eastAsia="en-US" w:bidi="ar-SA"/>
        </w:rPr>
        <w:footnoteReference w:customMarkFollows="1" w:id="221"/>
        <w:t xml:space="preserve">221</w:t>
      </w:r>
    </w:p>
    <w:p>
      <w:pPr>
        <w:rPr>
          <w:rFonts w:ascii="arial" w:eastAsia="arial" w:hAnsi="arial" w:cs="arial"/>
          <w:sz w:val="20"/>
          <w:lang w:val="en-US" w:eastAsia="en-US" w:bidi="ar-SA"/>
        </w:rPr>
      </w:pPr>
      <w:bookmarkStart w:id="85" w:name="Bookmark_TAAHAAC"/>
      <w:bookmarkEnd w:id="85"/>
      <w:bookmarkStart w:id="86" w:name="Bookmark__7_b"/>
      <w:bookmarkEnd w:id="86"/>
    </w:p>
    <w:p>
      <w:pPr>
        <w:numPr>
          <w:numId w:val="5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Removal and Mootness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discussed above in </w:t>
      </w:r>
      <w:hyperlink r:id="rId19" w:history="1">
        <w:r>
          <w:rPr>
            <w:rFonts w:ascii="arial" w:eastAsia="arial" w:hAnsi="arial" w:cs="arial"/>
            <w:i/>
            <w:color w:val="0077CC"/>
            <w:sz w:val="20"/>
            <w:u w:val="single"/>
            <w:shd w:val="clear" w:color="auto" w:fill="FFFFFF"/>
            <w:lang w:val="en-US" w:eastAsia="en-US" w:bidi="ar-SA"/>
          </w:rPr>
          <w:t>§ 104.04[6][c]</w:t>
        </w:r>
      </w:hyperlink>
      <w:r>
        <w:rPr>
          <w:rFonts w:ascii="arial" w:eastAsia="arial" w:hAnsi="arial" w:cs="arial"/>
          <w:color w:val="000000"/>
          <w:sz w:val="20"/>
          <w:lang w:val="en-US" w:eastAsia="en-US" w:bidi="ar-SA"/>
        </w:rPr>
        <w:t xml:space="preserve">, once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 is filed, the district court’s jurisdiction cannot be defeated by transferring the petitioner out of the territorial jurisdiction of that court and into the jurisdiction of another district court. Similarly, removal of the petitioner from the United States under an order of deportation or removal does not cause the district court to lose jurisdiction over the individual.</w:t>
      </w:r>
      <w:r>
        <w:rPr>
          <w:rFonts w:ascii="arial" w:eastAsia="arial" w:hAnsi="arial" w:cs="arial"/>
          <w:sz w:val="20"/>
          <w:vertAlign w:val="superscript"/>
          <w:lang w:val="en-US" w:eastAsia="en-US" w:bidi="ar-SA"/>
        </w:rPr>
        <w:footnoteReference w:customMarkFollows="1" w:id="222"/>
        <w:t xml:space="preserve">222</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Deportation or removal before adjudication of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does not moot the petition when the consequences stemming from the expulsion give rise to collateral consequences that satisfy the case-or-controversy requirement.</w:t>
      </w:r>
      <w:r>
        <w:rPr>
          <w:rFonts w:ascii="arial" w:eastAsia="arial" w:hAnsi="arial" w:cs="arial"/>
          <w:sz w:val="20"/>
          <w:vertAlign w:val="superscript"/>
          <w:lang w:val="en-US" w:eastAsia="en-US" w:bidi="ar-SA"/>
        </w:rPr>
        <w:footnoteReference w:customMarkFollows="1" w:id="223"/>
        <w:t xml:space="preserve">223</w:t>
      </w:r>
      <w:r>
        <w:rPr>
          <w:rFonts w:ascii="arial" w:eastAsia="arial" w:hAnsi="arial" w:cs="arial"/>
          <w:color w:val="000000"/>
          <w:sz w:val="20"/>
          <w:lang w:val="en-US" w:eastAsia="en-US" w:bidi="ar-SA"/>
        </w:rPr>
        <w:t xml:space="preserve"> In such a case, future inadmissibility, the risk of prosecution for re-entry, and other consequences of expulsion constitute the requisite collateral consequences.</w:t>
      </w:r>
      <w:r>
        <w:rPr>
          <w:rFonts w:ascii="arial" w:eastAsia="arial" w:hAnsi="arial" w:cs="arial"/>
          <w:sz w:val="20"/>
          <w:vertAlign w:val="superscript"/>
          <w:lang w:val="en-US" w:eastAsia="en-US" w:bidi="ar-SA"/>
        </w:rPr>
        <w:footnoteReference w:customMarkFollows="1" w:id="224"/>
        <w:t xml:space="preserve">224</w:t>
      </w:r>
      <w:r>
        <w:rPr>
          <w:rFonts w:ascii="arial" w:eastAsia="arial" w:hAnsi="arial" w:cs="arial"/>
          <w:color w:val="000000"/>
          <w:sz w:val="20"/>
          <w:lang w:val="en-US" w:eastAsia="en-US" w:bidi="ar-SA"/>
        </w:rPr>
        <w:t xml:space="preserve"> Some courts have concluded that deportation by itself may satisfy the collateral-consequences requirement.</w:t>
      </w:r>
      <w:r>
        <w:rPr>
          <w:rFonts w:ascii="arial" w:eastAsia="arial" w:hAnsi="arial" w:cs="arial"/>
          <w:sz w:val="20"/>
          <w:vertAlign w:val="superscript"/>
          <w:lang w:val="en-US" w:eastAsia="en-US" w:bidi="ar-SA"/>
        </w:rPr>
        <w:footnoteReference w:customMarkFollows="1" w:id="225"/>
        <w:t xml:space="preserve">225</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Just as removal from the country generally gives rise to collateral consequences sufficient to meet the case-or-controversy requirement, release from detention within the United States after being ordered removed may also still involve consequences sufficient to prevent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from being rendered moot.</w:t>
      </w:r>
      <w:r>
        <w:rPr>
          <w:rFonts w:ascii="arial" w:eastAsia="arial" w:hAnsi="arial" w:cs="arial"/>
          <w:sz w:val="20"/>
          <w:vertAlign w:val="superscript"/>
          <w:lang w:val="en-US" w:eastAsia="en-US" w:bidi="ar-SA"/>
        </w:rPr>
        <w:footnoteReference w:customMarkFollows="1" w:id="226"/>
        <w:t xml:space="preserve">226</w:t>
      </w:r>
    </w:p>
    <w:p>
      <w:pPr>
        <w:rPr>
          <w:rFonts w:ascii="arial" w:eastAsia="arial" w:hAnsi="arial" w:cs="arial"/>
          <w:sz w:val="20"/>
          <w:lang w:val="en-US" w:eastAsia="en-US" w:bidi="ar-SA"/>
        </w:rPr>
      </w:pPr>
      <w:bookmarkStart w:id="87" w:name="Bookmark_TAAHAAD"/>
      <w:bookmarkEnd w:id="87"/>
      <w:bookmarkStart w:id="88" w:name="Bookmark__7_c"/>
      <w:bookmarkEnd w:id="88"/>
    </w:p>
    <w:p>
      <w:pPr>
        <w:numPr>
          <w:numId w:val="58"/>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Mootness When Relief Cannot be Effected</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Deportation or removal may moot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 when the relief the petitioner requests can no longer be effected.</w:t>
      </w:r>
      <w:r>
        <w:rPr>
          <w:rFonts w:ascii="arial" w:eastAsia="arial" w:hAnsi="arial" w:cs="arial"/>
          <w:sz w:val="20"/>
          <w:vertAlign w:val="superscript"/>
          <w:lang w:val="en-US" w:eastAsia="en-US" w:bidi="ar-SA"/>
        </w:rPr>
        <w:footnoteReference w:customMarkFollows="1" w:id="227"/>
        <w:t xml:space="preserve">227</w:t>
      </w:r>
      <w:r>
        <w:rPr>
          <w:rFonts w:ascii="arial" w:eastAsia="arial" w:hAnsi="arial" w:cs="arial"/>
          <w:color w:val="000000"/>
          <w:sz w:val="20"/>
          <w:lang w:val="en-US" w:eastAsia="en-US" w:bidi="ar-SA"/>
        </w:rPr>
        <w:t xml:space="preserve"> For example, in one case the petitioner’s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action sought a reduction of his bond and the district court dismissed the petition on the merits. The petitioner filed an appeal, but then was deported. The Fifth Circuit dismissed the appeal as moot. It said that reduction of his bond could not be effected and that no “case or controversy” remained.</w:t>
      </w:r>
      <w:r>
        <w:rPr>
          <w:rFonts w:ascii="arial" w:eastAsia="arial" w:hAnsi="arial" w:cs="arial"/>
          <w:sz w:val="20"/>
          <w:vertAlign w:val="superscript"/>
          <w:lang w:val="en-US" w:eastAsia="en-US" w:bidi="ar-SA"/>
        </w:rPr>
        <w:footnoteReference w:customMarkFollows="1" w:id="228"/>
        <w:t xml:space="preserve">228</w:t>
      </w:r>
      <w:r>
        <w:rPr>
          <w:rFonts w:ascii="arial" w:eastAsia="arial" w:hAnsi="arial" w:cs="arial"/>
          <w:color w:val="000000"/>
          <w:sz w:val="20"/>
          <w:lang w:val="en-US" w:eastAsia="en-US" w:bidi="ar-SA"/>
        </w:rPr>
        <w:t xml:space="preserve"> Similarly, a petition will be moot if the petitioner would be inadmissible upon re-entry to the United States on grounds other than those being reviewed by the court.</w:t>
      </w:r>
      <w:r>
        <w:rPr>
          <w:rFonts w:ascii="arial" w:eastAsia="arial" w:hAnsi="arial" w:cs="arial"/>
          <w:sz w:val="20"/>
          <w:vertAlign w:val="superscript"/>
          <w:lang w:val="en-US" w:eastAsia="en-US" w:bidi="ar-SA"/>
        </w:rPr>
        <w:footnoteReference w:customMarkFollows="1" w:id="229"/>
        <w:t xml:space="preserve">229</w:t>
      </w:r>
    </w:p>
    <w:p>
      <w:pPr>
        <w:rPr>
          <w:rFonts w:ascii="arial" w:eastAsia="arial" w:hAnsi="arial" w:cs="arial"/>
          <w:sz w:val="20"/>
          <w:lang w:val="en-US" w:eastAsia="en-US" w:bidi="ar-SA"/>
        </w:rPr>
      </w:pPr>
      <w:bookmarkStart w:id="89" w:name="Bookmark_TAAHAAE"/>
      <w:bookmarkEnd w:id="89"/>
      <w:bookmarkStart w:id="90" w:name="Bookmark__7_d"/>
      <w:bookmarkEnd w:id="90"/>
    </w:p>
    <w:p>
      <w:pPr>
        <w:numPr>
          <w:numId w:val="5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Mootness When Released from Detention</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courts are divided on whether releasing a noncitizen from detention moots his or her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The Sixth Circuit has held that release constitutes merely a “reprieve from detention” and therefore does not moot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claim.</w:t>
      </w:r>
      <w:r>
        <w:rPr>
          <w:rFonts w:ascii="arial" w:eastAsia="arial" w:hAnsi="arial" w:cs="arial"/>
          <w:sz w:val="20"/>
          <w:vertAlign w:val="superscript"/>
          <w:lang w:val="en-US" w:eastAsia="en-US" w:bidi="ar-SA"/>
        </w:rPr>
        <w:footnoteReference w:customMarkFollows="1" w:id="230"/>
        <w:t xml:space="preserve">230</w:t>
      </w:r>
      <w:r>
        <w:rPr>
          <w:rFonts w:ascii="arial" w:eastAsia="arial" w:hAnsi="arial" w:cs="arial"/>
          <w:color w:val="000000"/>
          <w:sz w:val="20"/>
          <w:lang w:val="en-US" w:eastAsia="en-US" w:bidi="ar-SA"/>
        </w:rPr>
        <w:t xml:space="preserve"> The court also applied two exceptions to the mootness doctrine, finding the case one of voluntary cessation and capable of repetition yet evading review.</w:t>
      </w:r>
      <w:r>
        <w:rPr>
          <w:rFonts w:ascii="arial" w:eastAsia="arial" w:hAnsi="arial" w:cs="arial"/>
          <w:sz w:val="20"/>
          <w:vertAlign w:val="superscript"/>
          <w:lang w:val="en-US" w:eastAsia="en-US" w:bidi="ar-SA"/>
        </w:rPr>
        <w:footnoteReference w:customMarkFollows="1" w:id="231"/>
        <w:t xml:space="preserve">231</w:t>
      </w:r>
      <w:r>
        <w:rPr>
          <w:rFonts w:ascii="arial" w:eastAsia="arial" w:hAnsi="arial" w:cs="arial"/>
          <w:color w:val="000000"/>
          <w:sz w:val="20"/>
          <w:lang w:val="en-US" w:eastAsia="en-US" w:bidi="ar-SA"/>
        </w:rPr>
        <w:t xml:space="preserve"> The Fifth Circuit originally held, without any analysis, that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was moot once the noncitizen was released from detention.</w:t>
      </w:r>
      <w:r>
        <w:rPr>
          <w:rFonts w:ascii="arial" w:eastAsia="arial" w:hAnsi="arial" w:cs="arial"/>
          <w:sz w:val="20"/>
          <w:vertAlign w:val="superscript"/>
          <w:lang w:val="en-US" w:eastAsia="en-US" w:bidi="ar-SA"/>
        </w:rPr>
        <w:footnoteReference w:customMarkFollows="1" w:id="232"/>
        <w:t xml:space="preserve">232</w:t>
      </w:r>
      <w:r>
        <w:rPr>
          <w:rFonts w:ascii="arial" w:eastAsia="arial" w:hAnsi="arial" w:cs="arial"/>
          <w:color w:val="000000"/>
          <w:sz w:val="20"/>
          <w:lang w:val="en-US" w:eastAsia="en-US" w:bidi="ar-SA"/>
        </w:rPr>
        <w:t xml:space="preserve"> The court later amended the opinion to remove the footnote regarding mootness.</w:t>
      </w:r>
      <w:r>
        <w:rPr>
          <w:rFonts w:ascii="arial" w:eastAsia="arial" w:hAnsi="arial" w:cs="arial"/>
          <w:sz w:val="20"/>
          <w:vertAlign w:val="superscript"/>
          <w:lang w:val="en-US" w:eastAsia="en-US" w:bidi="ar-SA"/>
        </w:rPr>
        <w:footnoteReference w:customMarkFollows="1" w:id="233"/>
        <w:t xml:space="preserve">233</w:t>
      </w:r>
      <w:r>
        <w:rPr>
          <w:rFonts w:ascii="arial" w:eastAsia="arial" w:hAnsi="arial" w:cs="arial"/>
          <w:color w:val="000000"/>
          <w:sz w:val="20"/>
          <w:lang w:val="en-US" w:eastAsia="en-US" w:bidi="ar-SA"/>
        </w:rPr>
        <w:t xml:space="preserve"> The Ninth Circuit held that release from prison does not moot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if the noncitizen still faces deportation.</w:t>
      </w:r>
      <w:r>
        <w:rPr>
          <w:rFonts w:ascii="arial" w:eastAsia="arial" w:hAnsi="arial" w:cs="arial"/>
          <w:sz w:val="20"/>
          <w:vertAlign w:val="superscript"/>
          <w:lang w:val="en-US" w:eastAsia="en-US" w:bidi="ar-SA"/>
        </w:rPr>
        <w:footnoteReference w:customMarkFollows="1" w:id="234"/>
        <w:t xml:space="preserve">234</w:t>
      </w:r>
      <w:r>
        <w:rPr>
          <w:rFonts w:ascii="arial" w:eastAsia="arial" w:hAnsi="arial" w:cs="arial"/>
          <w:color w:val="000000"/>
          <w:sz w:val="20"/>
          <w:lang w:val="en-US" w:eastAsia="en-US" w:bidi="ar-SA"/>
        </w:rPr>
        <w:t xml:space="preserve"> But it also held that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was moot on release where the government issued a statement that it would not revoke parole absent criminal re-involvement.</w:t>
      </w:r>
      <w:r>
        <w:rPr>
          <w:rFonts w:ascii="arial" w:eastAsia="arial" w:hAnsi="arial" w:cs="arial"/>
          <w:sz w:val="20"/>
          <w:vertAlign w:val="superscript"/>
          <w:lang w:val="en-US" w:eastAsia="en-US" w:bidi="ar-SA"/>
        </w:rPr>
        <w:footnoteReference w:customMarkFollows="1" w:id="235"/>
        <w:t xml:space="preserve">235</w:t>
      </w:r>
      <w:r>
        <w:rPr>
          <w:rFonts w:ascii="arial" w:eastAsia="arial" w:hAnsi="arial" w:cs="arial"/>
          <w:color w:val="000000"/>
          <w:sz w:val="20"/>
          <w:lang w:val="en-US" w:eastAsia="en-US" w:bidi="ar-SA"/>
        </w:rPr>
        <w:t xml:space="preserve"> The Tenth Circuit has held that since the noncitizen was released on parole while his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appeal was pending, and was not detained at the time, his appeal was moot.</w:t>
      </w:r>
      <w:r>
        <w:rPr>
          <w:rFonts w:ascii="arial" w:eastAsia="arial" w:hAnsi="arial" w:cs="arial"/>
          <w:sz w:val="20"/>
          <w:vertAlign w:val="superscript"/>
          <w:lang w:val="en-US" w:eastAsia="en-US" w:bidi="ar-SA"/>
        </w:rPr>
        <w:footnoteReference w:customMarkFollows="1" w:id="236"/>
        <w:t xml:space="preserve">236</w:t>
      </w:r>
    </w:p>
    <w:p>
      <w:pPr>
        <w:rPr>
          <w:rFonts w:ascii="arial" w:eastAsia="arial" w:hAnsi="arial" w:cs="arial"/>
          <w:sz w:val="20"/>
          <w:lang w:val="en-US" w:eastAsia="en-US" w:bidi="ar-SA"/>
        </w:rPr>
      </w:pPr>
      <w:bookmarkStart w:id="91" w:name="Bookmark_TAAHAAF"/>
      <w:bookmarkEnd w:id="91"/>
      <w:bookmarkStart w:id="92" w:name="Bookmark__7_e"/>
      <w:bookmarkEnd w:id="92"/>
    </w:p>
    <w:p>
      <w:pPr>
        <w:numPr>
          <w:numId w:val="60"/>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Petitions Filed After Removal</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will likely be moot if it is filed after the petitioner has been removed or deported.</w:t>
      </w:r>
      <w:r>
        <w:rPr>
          <w:rFonts w:ascii="arial" w:eastAsia="arial" w:hAnsi="arial" w:cs="arial"/>
          <w:sz w:val="20"/>
          <w:vertAlign w:val="superscript"/>
          <w:lang w:val="en-US" w:eastAsia="en-US" w:bidi="ar-SA"/>
        </w:rPr>
        <w:footnoteReference w:customMarkFollows="1" w:id="237"/>
        <w:t xml:space="preserve">237</w:t>
      </w:r>
      <w:r>
        <w:rPr>
          <w:rFonts w:ascii="arial" w:eastAsia="arial" w:hAnsi="arial" w:cs="arial"/>
          <w:color w:val="000000"/>
          <w:sz w:val="20"/>
          <w:lang w:val="en-US" w:eastAsia="en-US" w:bidi="ar-SA"/>
        </w:rPr>
        <w:t xml:space="preserve"> For example, where the petitioner’s counsel filed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 not realizing the petitioner already had been deported, the Seventh Circuit held that she was no longer “in custody”; the court never acquired jurisdiction; and there was no “case or controversy.”</w:t>
      </w:r>
      <w:r>
        <w:rPr>
          <w:rFonts w:ascii="arial" w:eastAsia="arial" w:hAnsi="arial" w:cs="arial"/>
          <w:sz w:val="20"/>
          <w:vertAlign w:val="superscript"/>
          <w:lang w:val="en-US" w:eastAsia="en-US" w:bidi="ar-SA"/>
        </w:rPr>
        <w:footnoteReference w:customMarkFollows="1" w:id="238"/>
        <w:t xml:space="preserve">238</w:t>
      </w:r>
      <w:r>
        <w:rPr>
          <w:rFonts w:ascii="arial" w:eastAsia="arial" w:hAnsi="arial" w:cs="arial"/>
          <w:color w:val="000000"/>
          <w:sz w:val="20"/>
          <w:lang w:val="en-US" w:eastAsia="en-US" w:bidi="ar-SA"/>
        </w:rPr>
        <w:t xml:space="preserve"> Counsel’s request that the petitioner be returned to the United States could not supply the missing subject-matter jurisdiction, because the district court never had jurisdiction, the court said.</w:t>
      </w:r>
      <w:r>
        <w:rPr>
          <w:rFonts w:ascii="arial" w:eastAsia="arial" w:hAnsi="arial" w:cs="arial"/>
          <w:sz w:val="20"/>
          <w:vertAlign w:val="superscript"/>
          <w:lang w:val="en-US" w:eastAsia="en-US" w:bidi="ar-SA"/>
        </w:rPr>
        <w:footnoteReference w:customMarkFollows="1" w:id="239"/>
        <w:t xml:space="preserve">239</w:t>
      </w:r>
      <w:r>
        <w:rPr>
          <w:rFonts w:ascii="arial" w:eastAsia="arial" w:hAnsi="arial" w:cs="arial"/>
          <w:color w:val="000000"/>
          <w:sz w:val="20"/>
          <w:lang w:val="en-US" w:eastAsia="en-US" w:bidi="ar-SA"/>
        </w:rPr>
        <w:t xml:space="preserve"> However, the opinions of the courts diverge on the issue of whether the “in custody” requirement may be satisfied by an inadmissible or excludable petitioner who files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from outside the United States.</w:t>
      </w:r>
      <w:r>
        <w:rPr>
          <w:rFonts w:ascii="arial" w:eastAsia="arial" w:hAnsi="arial" w:cs="arial"/>
          <w:sz w:val="20"/>
          <w:vertAlign w:val="superscript"/>
          <w:lang w:val="en-US" w:eastAsia="en-US" w:bidi="ar-SA"/>
        </w:rPr>
        <w:footnoteReference w:customMarkFollows="1" w:id="240"/>
        <w:t xml:space="preserve">240</w:t>
      </w:r>
    </w:p>
    <w:p>
      <w:pPr>
        <w:rPr>
          <w:rFonts w:ascii="arial" w:eastAsia="arial" w:hAnsi="arial" w:cs="arial"/>
          <w:sz w:val="20"/>
          <w:lang w:val="en-US" w:eastAsia="en-US" w:bidi="ar-SA"/>
        </w:rPr>
      </w:pPr>
      <w:bookmarkStart w:id="93" w:name="Bookmark_TAAI"/>
      <w:bookmarkEnd w:id="93"/>
      <w:bookmarkStart w:id="94" w:name="Bookmark__8"/>
      <w:bookmarkEnd w:id="94"/>
    </w:p>
    <w:p>
      <w:pPr>
        <w:numPr>
          <w:numId w:val="6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Procedure in </w:t>
      </w:r>
      <w:r>
        <w:rPr>
          <w:rFonts w:ascii="arial" w:eastAsia="arial" w:hAnsi="arial" w:cs="arial"/>
          <w:b/>
          <w:i/>
          <w:color w:val="000000"/>
          <w:sz w:val="20"/>
          <w:u w:val="single"/>
          <w:lang w:val="en-US" w:eastAsia="en-US" w:bidi="ar-SA"/>
        </w:rPr>
        <w:t>Habeas</w:t>
      </w:r>
      <w:r>
        <w:rPr>
          <w:rFonts w:ascii="arial" w:eastAsia="arial" w:hAnsi="arial" w:cs="arial"/>
          <w:b/>
          <w:color w:val="000000"/>
          <w:sz w:val="20"/>
          <w:lang w:val="en-US" w:eastAsia="en-US" w:bidi="ar-SA"/>
        </w:rPr>
        <w:t xml:space="preserve"> Corpus Cases</w:t>
      </w:r>
      <w:r>
        <w:rPr>
          <w:rFonts w:ascii="arial" w:eastAsia="arial" w:hAnsi="arial" w:cs="arial"/>
          <w:sz w:val="20"/>
          <w:vertAlign w:val="superscript"/>
          <w:lang w:val="en-US" w:eastAsia="en-US" w:bidi="ar-SA"/>
        </w:rPr>
        <w:footnoteReference w:customMarkFollows="1" w:id="241"/>
        <w:t xml:space="preserve">241</w:t>
      </w:r>
    </w:p>
    <w:p>
      <w:pPr>
        <w:rPr>
          <w:rFonts w:ascii="arial" w:eastAsia="arial" w:hAnsi="arial" w:cs="arial"/>
          <w:sz w:val="20"/>
          <w:lang w:val="en-US" w:eastAsia="en-US" w:bidi="ar-SA"/>
        </w:rPr>
      </w:pPr>
      <w:bookmarkStart w:id="95" w:name="Bookmark_TAAIAAB"/>
      <w:bookmarkEnd w:id="95"/>
      <w:bookmarkStart w:id="96" w:name="Bookmark__8_a"/>
      <w:bookmarkEnd w:id="96"/>
    </w:p>
    <w:p>
      <w:pPr>
        <w:numPr>
          <w:numId w:val="62"/>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procedure in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is largely governed by statute, </w:t>
      </w:r>
      <w:hyperlink r:id="rId20" w:history="1">
        <w:r>
          <w:rPr>
            <w:rFonts w:ascii="arial" w:eastAsia="arial" w:hAnsi="arial" w:cs="arial"/>
            <w:i/>
            <w:color w:val="0077CC"/>
            <w:sz w:val="20"/>
            <w:u w:val="single"/>
            <w:shd w:val="clear" w:color="auto" w:fill="FFFFFF"/>
            <w:lang w:val="en-US" w:eastAsia="en-US" w:bidi="ar-SA"/>
          </w:rPr>
          <w:t>28 U.S.C. § 2241 et seq.</w:t>
        </w:r>
      </w:hyperlink>
      <w:r>
        <w:rPr>
          <w:rFonts w:ascii="arial" w:eastAsia="arial" w:hAnsi="arial" w:cs="arial"/>
          <w:color w:val="000000"/>
          <w:sz w:val="20"/>
          <w:lang w:val="en-US" w:eastAsia="en-US" w:bidi="ar-SA"/>
        </w:rPr>
        <w:t xml:space="preserve"> and </w:t>
      </w:r>
      <w:hyperlink r:id="rId22" w:history="1">
        <w:r>
          <w:rPr>
            <w:rFonts w:ascii="arial" w:eastAsia="arial" w:hAnsi="arial" w:cs="arial"/>
            <w:i/>
            <w:color w:val="0077CC"/>
            <w:sz w:val="20"/>
            <w:u w:val="single"/>
            <w:shd w:val="clear" w:color="auto" w:fill="FFFFFF"/>
            <w:lang w:val="en-US" w:eastAsia="en-US" w:bidi="ar-SA"/>
          </w:rPr>
          <w:t>INA § 242(c)</w:t>
        </w:r>
      </w:hyperlink>
      <w:r>
        <w:rPr>
          <w:rFonts w:ascii="arial" w:eastAsia="arial" w:hAnsi="arial" w:cs="arial"/>
          <w:color w:val="000000"/>
          <w:sz w:val="20"/>
          <w:lang w:val="en-US" w:eastAsia="en-US" w:bidi="ar-SA"/>
        </w:rPr>
        <w:t>. To some extent there also are variances in local practice. Practitioners should consult local court rules.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action is started by filing an application for a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usually in the form of a petition, accompanied by the appropriate filing fee.</w:t>
      </w:r>
      <w:r>
        <w:rPr>
          <w:rFonts w:ascii="arial" w:eastAsia="arial" w:hAnsi="arial" w:cs="arial"/>
          <w:sz w:val="20"/>
          <w:vertAlign w:val="superscript"/>
          <w:lang w:val="en-US" w:eastAsia="en-US" w:bidi="ar-SA"/>
        </w:rPr>
        <w:footnoteReference w:customMarkFollows="1" w:id="242"/>
        <w:t xml:space="preserve">242</w:t>
      </w:r>
      <w:r>
        <w:rPr>
          <w:rFonts w:ascii="arial" w:eastAsia="arial" w:hAnsi="arial" w:cs="arial"/>
          <w:color w:val="000000"/>
          <w:sz w:val="20"/>
          <w:lang w:val="en-US" w:eastAsia="en-US" w:bidi="ar-SA"/>
        </w:rPr>
        <w:t xml:space="preserve"> The petition must be signed and verified by the person for whom relief is intended or by someone acting in his or her behalf.</w:t>
      </w:r>
      <w:r>
        <w:rPr>
          <w:rFonts w:ascii="arial" w:eastAsia="arial" w:hAnsi="arial" w:cs="arial"/>
          <w:sz w:val="20"/>
          <w:vertAlign w:val="superscript"/>
          <w:lang w:val="en-US" w:eastAsia="en-US" w:bidi="ar-SA"/>
        </w:rPr>
        <w:footnoteReference w:customMarkFollows="1" w:id="243"/>
        <w:t xml:space="preserve">243</w:t>
      </w:r>
      <w:r>
        <w:rPr>
          <w:rFonts w:ascii="arial" w:eastAsia="arial" w:hAnsi="arial" w:cs="arial"/>
          <w:color w:val="000000"/>
          <w:sz w:val="20"/>
          <w:lang w:val="en-US" w:eastAsia="en-US" w:bidi="ar-SA"/>
        </w:rPr>
        <w:t xml:space="preserve"> A class action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may be filed where the class members are dispersed through various judicial districts, but their claims are united by a single, discrete legal question.</w:t>
      </w:r>
      <w:r>
        <w:rPr>
          <w:rFonts w:ascii="arial" w:eastAsia="arial" w:hAnsi="arial" w:cs="arial"/>
          <w:sz w:val="20"/>
          <w:vertAlign w:val="superscript"/>
          <w:lang w:val="en-US" w:eastAsia="en-US" w:bidi="ar-SA"/>
        </w:rPr>
        <w:footnoteReference w:customMarkFollows="1" w:id="244"/>
        <w:t xml:space="preserve">244</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 must allege the facts concerning the applicant’s circumstances, the name of the custodian, and the custodian’s claim or authority over the petitioner.</w:t>
      </w:r>
      <w:r>
        <w:rPr>
          <w:rFonts w:ascii="arial" w:eastAsia="arial" w:hAnsi="arial" w:cs="arial"/>
          <w:sz w:val="20"/>
          <w:vertAlign w:val="superscript"/>
          <w:lang w:val="en-US" w:eastAsia="en-US" w:bidi="ar-SA"/>
        </w:rPr>
        <w:footnoteReference w:customMarkFollows="1" w:id="245"/>
        <w:t xml:space="preserve">245</w:t>
      </w:r>
      <w:r>
        <w:rPr>
          <w:rFonts w:ascii="arial" w:eastAsia="arial" w:hAnsi="arial" w:cs="arial"/>
          <w:color w:val="000000"/>
          <w:sz w:val="20"/>
          <w:lang w:val="en-US" w:eastAsia="en-US" w:bidi="ar-SA"/>
        </w:rPr>
        <w:t xml:space="preserve"> The petition must also include a copy of any order of removal, and must state whether a court has previously upheld the order.</w:t>
      </w:r>
      <w:r>
        <w:rPr>
          <w:rFonts w:ascii="arial" w:eastAsia="arial" w:hAnsi="arial" w:cs="arial"/>
          <w:sz w:val="20"/>
          <w:vertAlign w:val="superscript"/>
          <w:lang w:val="en-US" w:eastAsia="en-US" w:bidi="ar-SA"/>
        </w:rPr>
        <w:footnoteReference w:customMarkFollows="1" w:id="246"/>
        <w:t xml:space="preserve">246</w:t>
      </w:r>
      <w:r>
        <w:rPr>
          <w:rFonts w:ascii="arial" w:eastAsia="arial" w:hAnsi="arial" w:cs="arial"/>
          <w:color w:val="000000"/>
          <w:sz w:val="20"/>
          <w:lang w:val="en-US" w:eastAsia="en-US" w:bidi="ar-SA"/>
        </w:rPr>
        <w:t xml:space="preserve"> In general, all administrative remedies must be exhausted before filing the petition.</w:t>
      </w:r>
      <w:r>
        <w:rPr>
          <w:rFonts w:ascii="arial" w:eastAsia="arial" w:hAnsi="arial" w:cs="arial"/>
          <w:sz w:val="20"/>
          <w:vertAlign w:val="superscript"/>
          <w:lang w:val="en-US" w:eastAsia="en-US" w:bidi="ar-SA"/>
        </w:rPr>
        <w:footnoteReference w:customMarkFollows="1" w:id="247"/>
        <w:t xml:space="preserve">247</w:t>
      </w:r>
      <w:r>
        <w:rPr>
          <w:rFonts w:ascii="arial" w:eastAsia="arial" w:hAnsi="arial" w:cs="arial"/>
          <w:color w:val="000000"/>
          <w:sz w:val="20"/>
          <w:lang w:val="en-US" w:eastAsia="en-US" w:bidi="ar-SA"/>
        </w:rPr>
        <w:t xml:space="preserve"> However, courts have carved out an exception to the exhaustion requirement for constitutional challenges to immigration laws, because the BIA does not have jurisdiction to review such claims.</w:t>
      </w:r>
      <w:r>
        <w:rPr>
          <w:rFonts w:ascii="arial" w:eastAsia="arial" w:hAnsi="arial" w:cs="arial"/>
          <w:sz w:val="20"/>
          <w:vertAlign w:val="superscript"/>
          <w:lang w:val="en-US" w:eastAsia="en-US" w:bidi="ar-SA"/>
        </w:rPr>
        <w:footnoteReference w:customMarkFollows="1" w:id="248"/>
        <w:t xml:space="preserve">248</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 may be amended or supplemented.</w:t>
      </w:r>
      <w:r>
        <w:rPr>
          <w:rFonts w:ascii="arial" w:eastAsia="arial" w:hAnsi="arial" w:cs="arial"/>
          <w:sz w:val="20"/>
          <w:vertAlign w:val="superscript"/>
          <w:lang w:val="en-US" w:eastAsia="en-US" w:bidi="ar-SA"/>
        </w:rPr>
        <w:footnoteReference w:customMarkFollows="1" w:id="249"/>
        <w:t xml:space="preserve">249</w:t>
      </w:r>
      <w:r>
        <w:rPr>
          <w:rFonts w:ascii="arial" w:eastAsia="arial" w:hAnsi="arial" w:cs="arial"/>
          <w:color w:val="000000"/>
          <w:sz w:val="20"/>
          <w:lang w:val="en-US" w:eastAsia="en-US" w:bidi="ar-SA"/>
        </w:rPr>
        <w:t xml:space="preserve"> If the initial pleadings fail to bring a claim within the court’s subject-matter jurisdiction, but other evidence shows that the jurisdictional defect may be cured by an amended pleading, the court can deny a motion to dismiss, directing the party to amend, or dismiss with leave to amend by a date certain.</w:t>
      </w:r>
      <w:r>
        <w:rPr>
          <w:rFonts w:ascii="arial" w:eastAsia="arial" w:hAnsi="arial" w:cs="arial"/>
          <w:sz w:val="20"/>
          <w:vertAlign w:val="superscript"/>
          <w:lang w:val="en-US" w:eastAsia="en-US" w:bidi="ar-SA"/>
        </w:rPr>
        <w:footnoteReference w:customMarkFollows="1" w:id="250"/>
        <w:t xml:space="preserve">250</w:t>
      </w:r>
      <w:r>
        <w:rPr>
          <w:rFonts w:ascii="arial" w:eastAsia="arial" w:hAnsi="arial" w:cs="arial"/>
          <w:color w:val="000000"/>
          <w:sz w:val="20"/>
          <w:lang w:val="en-US" w:eastAsia="en-US" w:bidi="ar-SA"/>
        </w:rPr>
        <w:t xml:space="preserve"> For example, where the petition failed to particularize the contents of the INS document in the petitioner’s prison file, so that the court could not determine whether the petitioner was “in custody,” the court dismissed the petition with leave to amend.</w:t>
      </w:r>
      <w:r>
        <w:rPr>
          <w:rFonts w:ascii="arial" w:eastAsia="arial" w:hAnsi="arial" w:cs="arial"/>
          <w:sz w:val="20"/>
          <w:vertAlign w:val="superscript"/>
          <w:lang w:val="en-US" w:eastAsia="en-US" w:bidi="ar-SA"/>
        </w:rPr>
        <w:footnoteReference w:customMarkFollows="1" w:id="251"/>
        <w:t xml:space="preserve">251</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petition should state whether the legality of the detention or conduct has been determined by a judge or court on a prior application for a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w:t>
      </w:r>
      <w:r>
        <w:rPr>
          <w:rFonts w:ascii="arial" w:eastAsia="arial" w:hAnsi="arial" w:cs="arial"/>
          <w:sz w:val="20"/>
          <w:vertAlign w:val="superscript"/>
          <w:lang w:val="en-US" w:eastAsia="en-US" w:bidi="ar-SA"/>
        </w:rPr>
        <w:footnoteReference w:customMarkFollows="1" w:id="252"/>
        <w:t xml:space="preserve">252</w:t>
      </w:r>
      <w:r>
        <w:rPr>
          <w:rFonts w:ascii="arial" w:eastAsia="arial" w:hAnsi="arial" w:cs="arial"/>
          <w:color w:val="000000"/>
          <w:sz w:val="20"/>
          <w:lang w:val="en-US" w:eastAsia="en-US" w:bidi="ar-SA"/>
        </w:rPr>
        <w:t xml:space="preserve"> A successive petition challenging the legality of detention is permissible in the event of an intervening change in the law such that the noncitizen can raise arguments that she was unable to raise in the first petition.</w:t>
      </w:r>
      <w:r>
        <w:rPr>
          <w:rFonts w:ascii="arial" w:eastAsia="arial" w:hAnsi="arial" w:cs="arial"/>
          <w:sz w:val="20"/>
          <w:vertAlign w:val="superscript"/>
          <w:lang w:val="en-US" w:eastAsia="en-US" w:bidi="ar-SA"/>
        </w:rPr>
        <w:footnoteReference w:customMarkFollows="1" w:id="253"/>
        <w:t xml:space="preserve">253</w:t>
      </w:r>
      <w:r>
        <w:rPr>
          <w:rFonts w:ascii="arial" w:eastAsia="arial" w:hAnsi="arial" w:cs="arial"/>
          <w:color w:val="000000"/>
          <w:sz w:val="20"/>
          <w:lang w:val="en-US" w:eastAsia="en-US" w:bidi="ar-SA"/>
        </w:rPr>
        <w:t xml:space="preserve"> However, the Third Circuit has ruled that second or subsequent petitions that present arguments not presented previously may be subject to the “abuse of the writ” doctrine.</w:t>
      </w:r>
      <w:r>
        <w:rPr>
          <w:rFonts w:ascii="arial" w:eastAsia="arial" w:hAnsi="arial" w:cs="arial"/>
          <w:sz w:val="20"/>
          <w:vertAlign w:val="superscript"/>
          <w:lang w:val="en-US" w:eastAsia="en-US" w:bidi="ar-SA"/>
        </w:rPr>
        <w:footnoteReference w:customMarkFollows="1" w:id="254"/>
        <w:t xml:space="preserve">254</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 should be specific in describing the respects in which the detention or conduct is allegedly illegal or unconstitutional. General allegations of illegal and unconstitutional action may be insufficient.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 the rare situation where the petition is addressed to the Supreme Court or the circuit court, it must state the reasons for not making an application to the appropriate district court.</w:t>
      </w:r>
      <w:r>
        <w:rPr>
          <w:rFonts w:ascii="arial" w:eastAsia="arial" w:hAnsi="arial" w:cs="arial"/>
          <w:sz w:val="20"/>
          <w:vertAlign w:val="superscript"/>
          <w:lang w:val="en-US" w:eastAsia="en-US" w:bidi="ar-SA"/>
        </w:rPr>
        <w:footnoteReference w:customMarkFollows="1" w:id="255"/>
        <w:t xml:space="preserve">255</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 or judge to whom the application for a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is presented may take one of the following actions:</w:t>
      </w:r>
      <w:r>
        <w:rPr>
          <w:rFonts w:ascii="arial" w:eastAsia="arial" w:hAnsi="arial" w:cs="arial"/>
          <w:sz w:val="20"/>
          <w:vertAlign w:val="superscript"/>
          <w:lang w:val="en-US" w:eastAsia="en-US" w:bidi="ar-SA"/>
        </w:rPr>
        <w:footnoteReference w:customMarkFollows="1" w:id="256"/>
        <w:t xml:space="preserve">256</w:t>
      </w:r>
    </w:p>
    <w:p>
      <w:pPr>
        <w:numPr>
          <w:numId w:val="63"/>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Dismiss the application if upon its face it demonstrates no basis upon which relief can be granted;</w:t>
      </w:r>
    </w:p>
    <w:p>
      <w:pPr>
        <w:numPr>
          <w:numId w:val="64"/>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Issue a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or</w:t>
      </w:r>
    </w:p>
    <w:p>
      <w:pPr>
        <w:numPr>
          <w:numId w:val="65"/>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Grant an order directing the respondent to show cause why the writ should not issue.</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 in its discretion may grant an application for discovery to aid in developing the facts after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 has begun.</w:t>
      </w:r>
      <w:r>
        <w:rPr>
          <w:rFonts w:ascii="arial" w:eastAsia="arial" w:hAnsi="arial" w:cs="arial"/>
          <w:sz w:val="20"/>
          <w:vertAlign w:val="superscript"/>
          <w:lang w:val="en-US" w:eastAsia="en-US" w:bidi="ar-SA"/>
        </w:rPr>
        <w:footnoteReference w:customMarkFollows="1" w:id="257"/>
        <w:t xml:space="preserve">257</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respondent named in the order to show cause or writ must file a “return” certifying “the true cause of the detention.” The return must be filed within three days unless additional time, not exceeding twenty days, is allowed by the court. The return may be amended by leave of the court.</w:t>
      </w:r>
      <w:r>
        <w:rPr>
          <w:rFonts w:ascii="arial" w:eastAsia="arial" w:hAnsi="arial" w:cs="arial"/>
          <w:sz w:val="20"/>
          <w:vertAlign w:val="superscript"/>
          <w:lang w:val="en-US" w:eastAsia="en-US" w:bidi="ar-SA"/>
        </w:rPr>
        <w:footnoteReference w:customMarkFollows="1" w:id="258"/>
        <w:t xml:space="preserve">258</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applicant or person detained may, under oath, deny any of the facts set forth in the [respondent’s] return or allege any other material facts.”</w:t>
      </w:r>
      <w:r>
        <w:rPr>
          <w:rFonts w:ascii="arial" w:eastAsia="arial" w:hAnsi="arial" w:cs="arial"/>
          <w:sz w:val="20"/>
          <w:vertAlign w:val="superscript"/>
          <w:lang w:val="en-US" w:eastAsia="en-US" w:bidi="ar-SA"/>
        </w:rPr>
        <w:footnoteReference w:customMarkFollows="1" w:id="259"/>
        <w:t xml:space="preserve">259</w:t>
      </w:r>
      <w:r>
        <w:rPr>
          <w:rFonts w:ascii="arial" w:eastAsia="arial" w:hAnsi="arial" w:cs="arial"/>
          <w:color w:val="000000"/>
          <w:sz w:val="20"/>
          <w:lang w:val="en-US" w:eastAsia="en-US" w:bidi="ar-SA"/>
        </w:rPr>
        <w:t xml:space="preserve"> The hearing must be set for not more than five days after the return, unless additional time is allowed for good cause.</w:t>
      </w:r>
      <w:r>
        <w:rPr>
          <w:rFonts w:ascii="arial" w:eastAsia="arial" w:hAnsi="arial" w:cs="arial"/>
          <w:sz w:val="20"/>
          <w:vertAlign w:val="superscript"/>
          <w:lang w:val="en-US" w:eastAsia="en-US" w:bidi="ar-SA"/>
        </w:rPr>
        <w:footnoteReference w:customMarkFollows="1" w:id="260"/>
        <w:t xml:space="preserve">260</w:t>
      </w:r>
      <w:r>
        <w:rPr>
          <w:rFonts w:ascii="arial" w:eastAsia="arial" w:hAnsi="arial" w:cs="arial"/>
          <w:color w:val="000000"/>
          <w:sz w:val="20"/>
          <w:lang w:val="en-US" w:eastAsia="en-US" w:bidi="ar-SA"/>
        </w:rPr>
        <w:t xml:space="preserve"> “[E]vidence may be taken orally or by deposition, or, in the discretion of the judge, by affidavit. If affidavits are admitted any party shall have the right to propound written interrogatories to the affiants, or to file answering affidavits.”</w:t>
      </w:r>
      <w:r>
        <w:rPr>
          <w:rFonts w:ascii="arial" w:eastAsia="arial" w:hAnsi="arial" w:cs="arial"/>
          <w:sz w:val="20"/>
          <w:vertAlign w:val="superscript"/>
          <w:lang w:val="en-US" w:eastAsia="en-US" w:bidi="ar-SA"/>
        </w:rPr>
        <w:footnoteReference w:customMarkFollows="1" w:id="261"/>
        <w:t xml:space="preserve">261</w:t>
      </w:r>
      <w:r>
        <w:rPr>
          <w:rFonts w:ascii="arial" w:eastAsia="arial" w:hAnsi="arial" w:cs="arial"/>
          <w:color w:val="000000"/>
          <w:sz w:val="20"/>
          <w:lang w:val="en-US" w:eastAsia="en-US" w:bidi="ar-SA"/>
        </w:rPr>
        <w:t xml:space="preserve"> Documentary evidence may be accepted as well.</w:t>
      </w:r>
      <w:r>
        <w:rPr>
          <w:rFonts w:ascii="arial" w:eastAsia="arial" w:hAnsi="arial" w:cs="arial"/>
          <w:sz w:val="20"/>
          <w:vertAlign w:val="superscript"/>
          <w:lang w:val="en-US" w:eastAsia="en-US" w:bidi="ar-SA"/>
        </w:rPr>
        <w:footnoteReference w:customMarkFollows="1" w:id="262"/>
        <w:t xml:space="preserve">262</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court “shall summarily hear and determine the facts and dispose of the matter as law and justice require.”</w:t>
      </w:r>
      <w:r>
        <w:rPr>
          <w:rFonts w:ascii="arial" w:eastAsia="arial" w:hAnsi="arial" w:cs="arial"/>
          <w:sz w:val="20"/>
          <w:vertAlign w:val="superscript"/>
          <w:lang w:val="en-US" w:eastAsia="en-US" w:bidi="ar-SA"/>
        </w:rPr>
        <w:footnoteReference w:customMarkFollows="1" w:id="263"/>
        <w:t xml:space="preserve">263</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court may refer the matter for an evidentiary hearing by a U.S. magistrate, who will then submit proposed findings and recommendations to the court.</w:t>
      </w:r>
      <w:r>
        <w:rPr>
          <w:rFonts w:ascii="arial" w:eastAsia="arial" w:hAnsi="arial" w:cs="arial"/>
          <w:sz w:val="20"/>
          <w:vertAlign w:val="superscript"/>
          <w:lang w:val="en-US" w:eastAsia="en-US" w:bidi="ar-SA"/>
        </w:rPr>
        <w:footnoteReference w:customMarkFollows="1" w:id="264"/>
        <w:t xml:space="preserve">264</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Successive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applications in the immigration context are not barred by the federal statutory prohibition against successive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w:t>
      </w:r>
      <w:r>
        <w:rPr>
          <w:rFonts w:ascii="arial" w:eastAsia="arial" w:hAnsi="arial" w:cs="arial"/>
          <w:sz w:val="20"/>
          <w:vertAlign w:val="superscript"/>
          <w:lang w:val="en-US" w:eastAsia="en-US" w:bidi="ar-SA"/>
        </w:rPr>
        <w:footnoteReference w:customMarkFollows="1" w:id="265"/>
        <w:t xml:space="preserve">265</w:t>
      </w:r>
      <w:r>
        <w:rPr>
          <w:rFonts w:ascii="arial" w:eastAsia="arial" w:hAnsi="arial" w:cs="arial"/>
          <w:color w:val="000000"/>
          <w:sz w:val="20"/>
          <w:lang w:val="en-US" w:eastAsia="en-US" w:bidi="ar-SA"/>
        </w:rPr>
        <w:t xml:space="preserve"> However, immigration-related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petitions are subject to dismissal under the “abuse of the writ” doctrine.</w:t>
      </w:r>
      <w:r>
        <w:rPr>
          <w:rFonts w:ascii="arial" w:eastAsia="arial" w:hAnsi="arial" w:cs="arial"/>
          <w:sz w:val="20"/>
          <w:vertAlign w:val="superscript"/>
          <w:lang w:val="en-US" w:eastAsia="en-US" w:bidi="ar-SA"/>
        </w:rPr>
        <w:footnoteReference w:customMarkFollows="1" w:id="266"/>
        <w:t xml:space="preserve">266</w:t>
      </w:r>
    </w:p>
    <w:p>
      <w:pPr>
        <w:rPr>
          <w:rFonts w:ascii="arial" w:eastAsia="arial" w:hAnsi="arial" w:cs="arial"/>
          <w:sz w:val="20"/>
          <w:lang w:val="en-US" w:eastAsia="en-US" w:bidi="ar-SA"/>
        </w:rPr>
      </w:pPr>
      <w:bookmarkStart w:id="97" w:name="Bookmark_TAAIAAC"/>
      <w:bookmarkEnd w:id="97"/>
      <w:bookmarkStart w:id="98" w:name="Bookmark__8_b"/>
      <w:bookmarkEnd w:id="98"/>
    </w:p>
    <w:p>
      <w:pPr>
        <w:numPr>
          <w:numId w:val="66"/>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Petitions by Pro Se Petitioners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Pro se submissions, however inartfully pleaded, must be held to a less stringent standard than formal pleadings drafted by lawyers. A pro se submission can be dismissed for failure to state a claim only if it appears beyond doubt that the petitioner can prove no set of facts in support of the claim that would entitle him or her to relief.</w:t>
      </w:r>
      <w:r>
        <w:rPr>
          <w:rFonts w:ascii="arial" w:eastAsia="arial" w:hAnsi="arial" w:cs="arial"/>
          <w:sz w:val="20"/>
          <w:vertAlign w:val="superscript"/>
          <w:lang w:val="en-US" w:eastAsia="en-US" w:bidi="ar-SA"/>
        </w:rPr>
        <w:footnoteReference w:customMarkFollows="1" w:id="267"/>
        <w:t xml:space="preserve">267</w:t>
      </w:r>
      <w:r>
        <w:rPr>
          <w:rFonts w:ascii="arial" w:eastAsia="arial" w:hAnsi="arial" w:cs="arial"/>
          <w:color w:val="000000"/>
          <w:sz w:val="20"/>
          <w:lang w:val="en-US" w:eastAsia="en-US" w:bidi="ar-SA"/>
        </w:rPr>
        <w:t xml:space="preserve"> Therefore, when receiving a pro se submission from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petitioner, the court must construe the petition and any supporting submissions liberally and with a measure of tolerance.</w:t>
      </w:r>
      <w:r>
        <w:rPr>
          <w:rFonts w:ascii="arial" w:eastAsia="arial" w:hAnsi="arial" w:cs="arial"/>
          <w:sz w:val="20"/>
          <w:vertAlign w:val="superscript"/>
          <w:lang w:val="en-US" w:eastAsia="en-US" w:bidi="ar-SA"/>
        </w:rPr>
        <w:footnoteReference w:customMarkFollows="1" w:id="268"/>
        <w:t xml:space="preserve">268</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Indigent petitioners may request to proceed in forma pauperis. If that request is granted, the clerk of the court must furnish to the petitioner without cost certified copies of documents or parts of the record on file.</w:t>
      </w:r>
      <w:r>
        <w:rPr>
          <w:rFonts w:ascii="arial" w:eastAsia="arial" w:hAnsi="arial" w:cs="arial"/>
          <w:sz w:val="20"/>
          <w:vertAlign w:val="superscript"/>
          <w:lang w:val="en-US" w:eastAsia="en-US" w:bidi="ar-SA"/>
        </w:rPr>
        <w:footnoteReference w:customMarkFollows="1" w:id="269"/>
        <w:t xml:space="preserve">269</w:t>
      </w:r>
      <w:r>
        <w:rPr>
          <w:rFonts w:ascii="arial" w:eastAsia="arial" w:hAnsi="arial" w:cs="arial"/>
          <w:color w:val="000000"/>
          <w:sz w:val="20"/>
          <w:lang w:val="en-US" w:eastAsia="en-US" w:bidi="ar-SA"/>
        </w:rPr>
        <w:t xml:space="preserve"> In the case of a detained petitioner, the petition is deemed filed when it is given to a prison official to place in the mail.</w:t>
      </w:r>
      <w:r>
        <w:rPr>
          <w:rFonts w:ascii="arial" w:eastAsia="arial" w:hAnsi="arial" w:cs="arial"/>
          <w:sz w:val="20"/>
          <w:vertAlign w:val="superscript"/>
          <w:lang w:val="en-US" w:eastAsia="en-US" w:bidi="ar-SA"/>
        </w:rPr>
        <w:footnoteReference w:customMarkFollows="1" w:id="270"/>
        <w:t xml:space="preserve">270</w:t>
      </w:r>
    </w:p>
    <w:p>
      <w:pPr>
        <w:rPr>
          <w:rFonts w:ascii="arial" w:eastAsia="arial" w:hAnsi="arial" w:cs="arial"/>
          <w:sz w:val="20"/>
          <w:lang w:val="en-US" w:eastAsia="en-US" w:bidi="ar-SA"/>
        </w:rPr>
      </w:pPr>
      <w:bookmarkStart w:id="99" w:name="Bookmark_TAAIAAD"/>
      <w:bookmarkEnd w:id="99"/>
      <w:bookmarkStart w:id="100" w:name="Bookmark__8_c"/>
      <w:bookmarkEnd w:id="100"/>
    </w:p>
    <w:p>
      <w:pPr>
        <w:numPr>
          <w:numId w:val="6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Appointment of Counsel</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Criminal Justice Act provides that representation may be provided for any “financially eligible person” who is seeking relief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271"/>
        <w:t xml:space="preserve">271</w:t>
      </w:r>
      <w:r>
        <w:rPr>
          <w:rFonts w:ascii="arial" w:eastAsia="arial" w:hAnsi="arial" w:cs="arial"/>
          <w:color w:val="000000"/>
          <w:sz w:val="20"/>
          <w:lang w:val="en-US" w:eastAsia="en-US" w:bidi="ar-SA"/>
        </w:rPr>
        <w:t xml:space="preserve"> Counsel has been appointed and paid by the federal government under this statute for a pro se litigant in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action where the court was convinced that the petitioner “has made a threshold showing of some likelihood of merit.”</w:t>
      </w:r>
      <w:r>
        <w:rPr>
          <w:rFonts w:ascii="arial" w:eastAsia="arial" w:hAnsi="arial" w:cs="arial"/>
          <w:sz w:val="20"/>
          <w:vertAlign w:val="superscript"/>
          <w:lang w:val="en-US" w:eastAsia="en-US" w:bidi="ar-SA"/>
        </w:rPr>
        <w:footnoteReference w:customMarkFollows="1" w:id="272"/>
        <w:t xml:space="preserve">272</w:t>
      </w:r>
    </w:p>
    <w:p>
      <w:pPr>
        <w:rPr>
          <w:rFonts w:ascii="arial" w:eastAsia="arial" w:hAnsi="arial" w:cs="arial"/>
          <w:sz w:val="20"/>
          <w:lang w:val="en-US" w:eastAsia="en-US" w:bidi="ar-SA"/>
        </w:rPr>
      </w:pPr>
      <w:bookmarkStart w:id="101" w:name="Bookmark_TAAIAAE"/>
      <w:bookmarkEnd w:id="101"/>
      <w:bookmarkStart w:id="102" w:name="Bookmark__8_d"/>
      <w:bookmarkEnd w:id="102"/>
    </w:p>
    <w:p>
      <w:pPr>
        <w:numPr>
          <w:numId w:val="68"/>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Stay of Deportation or Removal</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Like a petition for review, service of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 on the government does not automatically stay the petitioner’s removal. However, the petitioner may request such a stay for the pendency of her claim as part of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w:t>
      </w:r>
      <w:r>
        <w:rPr>
          <w:rFonts w:ascii="arial" w:eastAsia="arial" w:hAnsi="arial" w:cs="arial"/>
          <w:sz w:val="20"/>
          <w:vertAlign w:val="superscript"/>
          <w:lang w:val="en-US" w:eastAsia="en-US" w:bidi="ar-SA"/>
        </w:rPr>
        <w:footnoteReference w:customMarkFollows="1" w:id="273"/>
        <w:t xml:space="preserve">273</w:t>
      </w:r>
      <w:r>
        <w:rPr>
          <w:rFonts w:ascii="arial" w:eastAsia="arial" w:hAnsi="arial" w:cs="arial"/>
          <w:color w:val="000000"/>
          <w:sz w:val="20"/>
          <w:lang w:val="en-US" w:eastAsia="en-US" w:bidi="ar-SA"/>
        </w:rPr>
        <w:t xml:space="preserve"> Furthermore, at least one court has ruled that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may be filed for the purpose of seeking such a stay.</w:t>
      </w:r>
      <w:r>
        <w:rPr>
          <w:rFonts w:ascii="arial" w:eastAsia="arial" w:hAnsi="arial" w:cs="arial"/>
          <w:sz w:val="20"/>
          <w:vertAlign w:val="superscript"/>
          <w:lang w:val="en-US" w:eastAsia="en-US" w:bidi="ar-SA"/>
        </w:rPr>
        <w:footnoteReference w:customMarkFollows="1" w:id="274"/>
        <w:t xml:space="preserve">274</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pre-AEDPA law, courts could employ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jurisdiction found at then-</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 xml:space="preserve"> to review the denial of a stay of deportation.</w:t>
      </w:r>
      <w:r>
        <w:rPr>
          <w:rFonts w:ascii="arial" w:eastAsia="arial" w:hAnsi="arial" w:cs="arial"/>
          <w:sz w:val="20"/>
          <w:vertAlign w:val="superscript"/>
          <w:lang w:val="en-US" w:eastAsia="en-US" w:bidi="ar-SA"/>
        </w:rPr>
        <w:footnoteReference w:customMarkFollows="1" w:id="275"/>
        <w:t xml:space="preserve">275</w:t>
      </w:r>
      <w:r>
        <w:rPr>
          <w:rFonts w:ascii="arial" w:eastAsia="arial" w:hAnsi="arial" w:cs="arial"/>
          <w:color w:val="000000"/>
          <w:sz w:val="20"/>
          <w:lang w:val="en-US" w:eastAsia="en-US" w:bidi="ar-SA"/>
        </w:rPr>
        <w:t xml:space="preserve"> However, in post-AEDPA and -IIRAIRA cases, the government has argued that the courts do not have jurisdiction to review a denial of a stay of deportation. Nevertheless, most courts have held that if they continue to have jurisdiction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that jurisdiction extends to a review of the denial of a stay.</w:t>
      </w:r>
      <w:r>
        <w:rPr>
          <w:rFonts w:ascii="arial" w:eastAsia="arial" w:hAnsi="arial" w:cs="arial"/>
          <w:sz w:val="20"/>
          <w:vertAlign w:val="superscript"/>
          <w:lang w:val="en-US" w:eastAsia="en-US" w:bidi="ar-SA"/>
        </w:rPr>
        <w:footnoteReference w:customMarkFollows="1" w:id="276"/>
        <w:t xml:space="preserve">276</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However, the REAL ID Act of 2005 barred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review of final orders of removal.</w:t>
      </w:r>
      <w:r>
        <w:rPr>
          <w:rFonts w:ascii="arial" w:eastAsia="arial" w:hAnsi="arial" w:cs="arial"/>
          <w:sz w:val="20"/>
          <w:vertAlign w:val="superscript"/>
          <w:lang w:val="en-US" w:eastAsia="en-US" w:bidi="ar-SA"/>
        </w:rPr>
        <w:footnoteReference w:customMarkFollows="1" w:id="277"/>
        <w:t xml:space="preserve">277</w:t>
      </w:r>
      <w:r>
        <w:rPr>
          <w:rFonts w:ascii="arial" w:eastAsia="arial" w:hAnsi="arial" w:cs="arial"/>
          <w:color w:val="000000"/>
          <w:sz w:val="20"/>
          <w:lang w:val="en-US" w:eastAsia="en-US" w:bidi="ar-SA"/>
        </w:rPr>
        <w:t xml:space="preserve"> The courts that have considered the question have emphatically ruled that the REAL ID Act stripped district courts of the power to issue a stay of removal and that any decision to stay a removal must be made by the appropriate court of appeals.</w:t>
      </w:r>
      <w:r>
        <w:rPr>
          <w:rFonts w:ascii="arial" w:eastAsia="arial" w:hAnsi="arial" w:cs="arial"/>
          <w:sz w:val="20"/>
          <w:vertAlign w:val="superscript"/>
          <w:lang w:val="en-US" w:eastAsia="en-US" w:bidi="ar-SA"/>
        </w:rPr>
        <w:footnoteReference w:customMarkFollows="1" w:id="278"/>
        <w:t xml:space="preserve">278</w:t>
      </w:r>
    </w:p>
    <w:p>
      <w:pPr>
        <w:rPr>
          <w:rFonts w:ascii="arial" w:eastAsia="arial" w:hAnsi="arial" w:cs="arial"/>
          <w:sz w:val="20"/>
          <w:lang w:val="en-US" w:eastAsia="en-US" w:bidi="ar-SA"/>
        </w:rPr>
      </w:pPr>
      <w:bookmarkStart w:id="103" w:name="Bookmark_TAAIAAF"/>
      <w:bookmarkEnd w:id="103"/>
      <w:bookmarkStart w:id="104" w:name="Bookmark__8_e"/>
      <w:bookmarkEnd w:id="104"/>
    </w:p>
    <w:p>
      <w:pPr>
        <w:numPr>
          <w:numId w:val="6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Appeal</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Either side may appeal from a final, adverse district court determination in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action.</w:t>
      </w:r>
      <w:r>
        <w:rPr>
          <w:rFonts w:ascii="arial" w:eastAsia="arial" w:hAnsi="arial" w:cs="arial"/>
          <w:sz w:val="20"/>
          <w:vertAlign w:val="superscript"/>
          <w:lang w:val="en-US" w:eastAsia="en-US" w:bidi="ar-SA"/>
        </w:rPr>
        <w:footnoteReference w:customMarkFollows="1" w:id="279"/>
        <w:t xml:space="preserve">279</w:t>
      </w:r>
      <w:r>
        <w:rPr>
          <w:rFonts w:ascii="arial" w:eastAsia="arial" w:hAnsi="arial" w:cs="arial"/>
          <w:color w:val="000000"/>
          <w:sz w:val="20"/>
          <w:lang w:val="en-US" w:eastAsia="en-US" w:bidi="ar-SA"/>
        </w:rPr>
        <w:t xml:space="preserve"> The court of appeals for the circuit in which the proceeding was held has jurisdiction over the appeal pursuant to </w:t>
      </w:r>
      <w:hyperlink r:id="rId30" w:history="1">
        <w:r>
          <w:rPr>
            <w:rFonts w:ascii="arial" w:eastAsia="arial" w:hAnsi="arial" w:cs="arial"/>
            <w:i/>
            <w:color w:val="0077CC"/>
            <w:sz w:val="20"/>
            <w:u w:val="single"/>
            <w:shd w:val="clear" w:color="auto" w:fill="FFFFFF"/>
            <w:lang w:val="en-US" w:eastAsia="en-US" w:bidi="ar-SA"/>
          </w:rPr>
          <w:t>28 U.S.C. §§ 1291</w:t>
        </w:r>
      </w:hyperlink>
      <w:r>
        <w:rPr>
          <w:rFonts w:ascii="arial" w:eastAsia="arial" w:hAnsi="arial" w:cs="arial"/>
          <w:color w:val="000000"/>
          <w:sz w:val="20"/>
          <w:lang w:val="en-US" w:eastAsia="en-US" w:bidi="ar-SA"/>
        </w:rPr>
        <w:t xml:space="preserve"> and </w:t>
      </w:r>
      <w:hyperlink r:id="rId31" w:history="1">
        <w:r>
          <w:rPr>
            <w:rFonts w:ascii="arial" w:eastAsia="arial" w:hAnsi="arial" w:cs="arial"/>
            <w:i/>
            <w:color w:val="0077CC"/>
            <w:sz w:val="20"/>
            <w:u w:val="single"/>
            <w:shd w:val="clear" w:color="auto" w:fill="FFFFFF"/>
            <w:lang w:val="en-US" w:eastAsia="en-US" w:bidi="ar-SA"/>
          </w:rPr>
          <w:t>2253</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280"/>
        <w:t xml:space="preserve">280</w:t>
      </w:r>
      <w:r>
        <w:rPr>
          <w:rFonts w:ascii="arial" w:eastAsia="arial" w:hAnsi="arial" w:cs="arial"/>
          <w:color w:val="000000"/>
          <w:sz w:val="20"/>
          <w:lang w:val="en-US" w:eastAsia="en-US" w:bidi="ar-SA"/>
        </w:rPr>
        <w:t xml:space="preserve"> The court of appeals reviews the district court’s dismissal for lack of subject-matter jurisdiction de novo.</w:t>
      </w:r>
      <w:r>
        <w:rPr>
          <w:rFonts w:ascii="arial" w:eastAsia="arial" w:hAnsi="arial" w:cs="arial"/>
          <w:sz w:val="20"/>
          <w:vertAlign w:val="superscript"/>
          <w:lang w:val="en-US" w:eastAsia="en-US" w:bidi="ar-SA"/>
        </w:rPr>
        <w:footnoteReference w:customMarkFollows="1" w:id="281"/>
        <w:t xml:space="preserve">281</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issue of when a district court determination is “final” for appeal purposes has been much litigated, though chiefly in the non-immigration context. Typically, of course, the winning party at the district court level argues before the court of appeals that the district court’s decision was not a final, appealable order and that the appeals court has no jurisdiction to review the district court’s decision.</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example, in a pre-IIRAIRA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case reviewing an exclusion order, the district court reversed the BIA’s decision denying asylum and withholding of deportation and remanded to the BIA for further proceedings. The INS appealed to the court of appeals. The petitioner filed a motion to dismiss the appeal, arguing that the district court’s order was not final and appealable because it merely remanded the case to the BIA. The circuit court disagreed, concluding that the district court’s order was final because “it grants the petitioner all of the relief that the court was empowered to grant and leaves INS nothing to perform other than the ministerial act of ordering the petitioner’s deportation withheld.”</w:t>
      </w:r>
      <w:r>
        <w:rPr>
          <w:rFonts w:ascii="arial" w:eastAsia="arial" w:hAnsi="arial" w:cs="arial"/>
          <w:sz w:val="20"/>
          <w:vertAlign w:val="superscript"/>
          <w:lang w:val="en-US" w:eastAsia="en-US" w:bidi="ar-SA"/>
        </w:rPr>
        <w:footnoteReference w:customMarkFollows="1" w:id="282"/>
        <w:t xml:space="preserve">282</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have been many “finality” decisions in non-immigration but relevant contexts. For example, it has been held that a judgment that dismissed only four of seven claims raised in a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petition was not “final” for purposes of appealability under </w:t>
      </w:r>
      <w:hyperlink r:id="rId30" w:history="1">
        <w:r>
          <w:rPr>
            <w:rFonts w:ascii="arial" w:eastAsia="arial" w:hAnsi="arial" w:cs="arial"/>
            <w:i/>
            <w:color w:val="0077CC"/>
            <w:sz w:val="20"/>
            <w:u w:val="single"/>
            <w:shd w:val="clear" w:color="auto" w:fill="FFFFFF"/>
            <w:lang w:val="en-US" w:eastAsia="en-US" w:bidi="ar-SA"/>
          </w:rPr>
          <w:t>28 U.S.C. § 1291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283"/>
        <w:t xml:space="preserve">283</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Also, it has been held that neither the district court’s transfer order nor its refusal to decide whether it had jurisdiction to determine the merits of the petition for a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constituted an appealable final order.</w:t>
      </w:r>
      <w:r>
        <w:rPr>
          <w:rFonts w:ascii="arial" w:eastAsia="arial" w:hAnsi="arial" w:cs="arial"/>
          <w:sz w:val="20"/>
          <w:vertAlign w:val="superscript"/>
          <w:lang w:val="en-US" w:eastAsia="en-US" w:bidi="ar-SA"/>
        </w:rPr>
        <w:footnoteReference w:customMarkFollows="1" w:id="284"/>
        <w:t xml:space="preserve">284</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 the other hand, an order denying bail pending the outcome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proceedings under </w:t>
      </w:r>
      <w:hyperlink r:id="rId27" w:history="1">
        <w:r>
          <w:rPr>
            <w:rFonts w:ascii="arial" w:eastAsia="arial" w:hAnsi="arial" w:cs="arial"/>
            <w:i/>
            <w:color w:val="0077CC"/>
            <w:sz w:val="20"/>
            <w:u w:val="single"/>
            <w:shd w:val="clear" w:color="auto" w:fill="FFFFFF"/>
            <w:lang w:val="en-US" w:eastAsia="en-US" w:bidi="ar-SA"/>
          </w:rPr>
          <w:t>28 U.S.C. § 2254</w:t>
        </w:r>
      </w:hyperlink>
      <w:r>
        <w:rPr>
          <w:rFonts w:ascii="arial" w:eastAsia="arial" w:hAnsi="arial" w:cs="arial"/>
          <w:color w:val="000000"/>
          <w:sz w:val="20"/>
          <w:lang w:val="en-US" w:eastAsia="en-US" w:bidi="ar-SA"/>
        </w:rPr>
        <w:t xml:space="preserve"> is appealable under the collateral order doctrine, since the determination of propriety of bail is collateral to the merits and essentially is unreviewable after a final order on the merits.</w:t>
      </w:r>
      <w:r>
        <w:rPr>
          <w:rFonts w:ascii="arial" w:eastAsia="arial" w:hAnsi="arial" w:cs="arial"/>
          <w:sz w:val="20"/>
          <w:vertAlign w:val="superscript"/>
          <w:lang w:val="en-US" w:eastAsia="en-US" w:bidi="ar-SA"/>
        </w:rPr>
        <w:footnoteReference w:customMarkFollows="1" w:id="285"/>
        <w:t xml:space="preserve">285</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also has been held, because the court of appeals has jurisdiction over the appeal from the denial of bail pending appeal under </w:t>
      </w:r>
      <w:hyperlink r:id="rId30" w:history="1">
        <w:r>
          <w:rPr>
            <w:rFonts w:ascii="arial" w:eastAsia="arial" w:hAnsi="arial" w:cs="arial"/>
            <w:i/>
            <w:color w:val="0077CC"/>
            <w:sz w:val="20"/>
            <w:u w:val="single"/>
            <w:shd w:val="clear" w:color="auto" w:fill="FFFFFF"/>
            <w:lang w:val="en-US" w:eastAsia="en-US" w:bidi="ar-SA"/>
          </w:rPr>
          <w:t>28 U.S.C. § 1291</w:t>
        </w:r>
      </w:hyperlink>
      <w:r>
        <w:rPr>
          <w:rFonts w:ascii="arial" w:eastAsia="arial" w:hAnsi="arial" w:cs="arial"/>
          <w:color w:val="000000"/>
          <w:sz w:val="20"/>
          <w:lang w:val="en-US" w:eastAsia="en-US" w:bidi="ar-SA"/>
        </w:rPr>
        <w:t xml:space="preserve"> regardless of how the appeal was denominated, that the court may, in interests of expedition, treat the appeal from a denial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relief as an appeal from the denial of release pending appeal.</w:t>
      </w:r>
      <w:r>
        <w:rPr>
          <w:rFonts w:ascii="arial" w:eastAsia="arial" w:hAnsi="arial" w:cs="arial"/>
          <w:sz w:val="20"/>
          <w:vertAlign w:val="superscript"/>
          <w:lang w:val="en-US" w:eastAsia="en-US" w:bidi="ar-SA"/>
        </w:rPr>
        <w:footnoteReference w:customMarkFollows="1" w:id="286"/>
        <w:t xml:space="preserve">286</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 judgment granting a writ of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on less than all grounds asserted has been held to be an appealable final decision within the meaning of § 1291.</w:t>
      </w:r>
      <w:r>
        <w:rPr>
          <w:rFonts w:ascii="arial" w:eastAsia="arial" w:hAnsi="arial" w:cs="arial"/>
          <w:sz w:val="20"/>
          <w:vertAlign w:val="superscript"/>
          <w:lang w:val="en-US" w:eastAsia="en-US" w:bidi="ar-SA"/>
        </w:rPr>
        <w:footnoteReference w:customMarkFollows="1" w:id="287"/>
        <w:t xml:space="preserve">287</w:t>
      </w:r>
      <w:r>
        <w:rPr>
          <w:rFonts w:ascii="arial" w:eastAsia="arial" w:hAnsi="arial" w:cs="arial"/>
          <w:color w:val="000000"/>
          <w:sz w:val="20"/>
          <w:lang w:val="en-US" w:eastAsia="en-US" w:bidi="ar-SA"/>
        </w:rPr>
        <w:t xml:space="preserve"> In another case, however, the district court’s order on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corpus was held not to be a final, appealable order, as the petitioner included ten grounds for relief and the district court addressed only one, so that the petitioner had not received all he had hoped to achieve.</w:t>
      </w:r>
      <w:r>
        <w:rPr>
          <w:rFonts w:ascii="arial" w:eastAsia="arial" w:hAnsi="arial" w:cs="arial"/>
          <w:sz w:val="20"/>
          <w:vertAlign w:val="superscript"/>
          <w:lang w:val="en-US" w:eastAsia="en-US" w:bidi="ar-SA"/>
        </w:rPr>
        <w:footnoteReference w:customMarkFollows="1" w:id="288"/>
        <w:t xml:space="preserve">288</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 order granting the petitioner’s release on bail pending disposition of his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was held to be appealable under § 1291, as the order gave the petitioner the relief he sought.</w:t>
      </w:r>
      <w:r>
        <w:rPr>
          <w:rFonts w:ascii="arial" w:eastAsia="arial" w:hAnsi="arial" w:cs="arial"/>
          <w:sz w:val="20"/>
          <w:vertAlign w:val="superscript"/>
          <w:lang w:val="en-US" w:eastAsia="en-US" w:bidi="ar-SA"/>
        </w:rPr>
        <w:footnoteReference w:customMarkFollows="1" w:id="289"/>
        <w:t xml:space="preserve">289</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 had jurisdiction under the collateral order doctrine to review the district court’s order to a prison warden to transport the prisoner for medical tests, as the order conclusively determined whether the prisoner was entitled to be so transported. It resolved an issue that was distinct from the merits of the underlying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and that would evade effective review on appeal from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decision.</w:t>
      </w:r>
      <w:r>
        <w:rPr>
          <w:rFonts w:ascii="arial" w:eastAsia="arial" w:hAnsi="arial" w:cs="arial"/>
          <w:sz w:val="20"/>
          <w:vertAlign w:val="superscript"/>
          <w:lang w:val="en-US" w:eastAsia="en-US" w:bidi="ar-SA"/>
        </w:rPr>
        <w:footnoteReference w:customMarkFollows="1" w:id="290"/>
        <w:t xml:space="preserve">290</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Also, it has been held that the district court’s order staying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for ninety days pending exhaustion of state remedies was an appealable collateral order. The </w:t>
      </w:r>
      <w:r>
        <w:rPr>
          <w:rFonts w:ascii="arial" w:eastAsia="arial" w:hAnsi="arial" w:cs="arial"/>
          <w:b/>
          <w:i/>
          <w:color w:val="000000"/>
          <w:sz w:val="20"/>
          <w:u w:val="single"/>
          <w:lang w:val="en-US" w:eastAsia="en-US" w:bidi="ar-SA"/>
        </w:rPr>
        <w:t>habeas</w:t>
      </w:r>
      <w:r>
        <w:rPr>
          <w:rFonts w:ascii="arial" w:eastAsia="arial" w:hAnsi="arial" w:cs="arial"/>
          <w:color w:val="000000"/>
          <w:sz w:val="20"/>
          <w:lang w:val="en-US" w:eastAsia="en-US" w:bidi="ar-SA"/>
        </w:rPr>
        <w:t xml:space="preserve"> petition included an unexhausted claim, the appeal presented an important issue separate from those in the underlying action, and the propriety of the stay could not effectively be reviewed following an exhaustion of state remedies and consideration of the petition by the federal district court.</w:t>
      </w:r>
      <w:r>
        <w:rPr>
          <w:rFonts w:ascii="arial" w:eastAsia="arial" w:hAnsi="arial" w:cs="arial"/>
          <w:sz w:val="20"/>
          <w:vertAlign w:val="superscript"/>
          <w:lang w:val="en-US" w:eastAsia="en-US" w:bidi="ar-SA"/>
        </w:rPr>
        <w:footnoteReference w:customMarkFollows="1" w:id="291"/>
        <w:t xml:space="preserve">291</w:t>
      </w:r>
    </w:p>
    <w:p>
      <w:pPr>
        <w:spacing w:before="120" w:line="22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color w:val="000000"/>
          <w:sz w:val="16"/>
          <w:lang w:val="en-US" w:eastAsia="en-US" w:bidi="ar-SA"/>
        </w:rPr>
        <w:t>Immigration Law and Procedure</w:t>
      </w:r>
    </w:p>
    <w:p>
      <w:pPr>
        <w:spacing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Copyright 2019,  Matthew Bender &amp; Company, Inc., a member of the LexisNexis Group.</w:t>
      </w:r>
    </w:p>
    <w:p>
      <w:pPr>
        <w:rPr>
          <w:rFonts w:ascii="arial" w:eastAsia="arial" w:hAnsi="arial" w:cs="arial"/>
          <w:sz w:val="20"/>
          <w:lang w:val="en-US" w:eastAsia="en-US" w:bidi="ar-SA"/>
        </w:rPr>
      </w:pPr>
    </w:p>
    <w:p>
      <w:pPr>
        <w:ind w:left="200"/>
        <w:rPr>
          <w:rFonts w:ascii="arial" w:eastAsia="arial" w:hAnsi="arial" w:cs="arial"/>
          <w:sz w:val="20"/>
          <w:lang w:val="en-US" w:eastAsia="en-US" w:bidi="ar-SA"/>
        </w:rPr>
      </w:pPr>
      <w:r>
        <w:rPr>
          <w:rFonts w:ascii="arial" w:eastAsia="arial" w:hAnsi="arial" w:cs="arial"/>
          <w:sz w:val="20"/>
          <w:lang w:val="en-US" w:eastAsia="en-US" w:bidi="ar-SA"/>
        </w:rPr>
        <w:br/>
      </w:r>
      <w:r>
        <w:pict>
          <v:line id="_x0000_s1027" style="position:absolute;z-index:251659264"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 </w:t>
      </w:r>
      <w:r>
        <w:rPr>
          <w:rFonts w:ascii="arial" w:eastAsia="arial" w:hAnsi="arial" w:cs="arial"/>
          <w:b w:val="0"/>
          <w:i w:val="0"/>
          <w:strike w:val="0"/>
          <w:noProof w:val="0"/>
          <w:color w:val="000000"/>
          <w:position w:val="0"/>
          <w:sz w:val="18"/>
          <w:u w:val="none"/>
          <w:vertAlign w:val="baseline"/>
        </w:rPr>
        <w:t>The authors thank Ryan Allison, Jeanne Butterfield, Aaron El Sabrout, Christoph Hoashi-Erhardt, Sarah Hameed, and Nadine Wettstein for their assistance in updating various parts of this chapter.</w:t>
      </w:r>
    </w:p>
  </w:footnote>
  <w:footnote w:id="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1 </w:t>
      </w:r>
      <w:hyperlink r:id="rId1" w:history="1">
        <w:r>
          <w:rPr>
            <w:rFonts w:ascii="arial" w:eastAsia="arial" w:hAnsi="arial" w:cs="arial"/>
            <w:b w:val="0"/>
            <w:i/>
            <w:strike w:val="0"/>
            <w:noProof w:val="0"/>
            <w:color w:val="0077CC"/>
            <w:position w:val="0"/>
            <w:sz w:val="18"/>
            <w:u w:val="single"/>
            <w:shd w:val="clear" w:color="auto" w:fill="FFFFFF"/>
            <w:vertAlign w:val="baseline"/>
          </w:rPr>
          <w:t>Harris v. Nelson, 394 U.S. 286, 290–91 (1969)</w:t>
        </w:r>
      </w:hyperlink>
      <w:r>
        <w:rPr>
          <w:rFonts w:ascii="arial" w:eastAsia="arial" w:hAnsi="arial" w:cs="arial"/>
          <w:b w:val="0"/>
          <w:i w:val="0"/>
          <w:strike w:val="0"/>
          <w:noProof w:val="0"/>
          <w:color w:val="000000"/>
          <w:position w:val="0"/>
          <w:sz w:val="18"/>
          <w:u w:val="none"/>
          <w:vertAlign w:val="baseline"/>
        </w:rPr>
        <w:t>.</w:t>
      </w:r>
    </w:p>
  </w:footnote>
  <w:footnote w:id="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hyperlink r:id="rId2" w:history="1">
        <w:r>
          <w:rPr>
            <w:rFonts w:ascii="arial" w:eastAsia="arial" w:hAnsi="arial" w:cs="arial"/>
            <w:b w:val="0"/>
            <w:i/>
            <w:strike w:val="0"/>
            <w:noProof w:val="0"/>
            <w:color w:val="0077CC"/>
            <w:position w:val="0"/>
            <w:sz w:val="18"/>
            <w:u w:val="single"/>
            <w:shd w:val="clear" w:color="auto" w:fill="FFFFFF"/>
            <w:vertAlign w:val="baseline"/>
          </w:rPr>
          <w:t>U.S. Const. art. I, § 9, cl. 2</w:t>
        </w:r>
      </w:hyperlink>
      <w:r>
        <w:rPr>
          <w:rFonts w:ascii="arial" w:eastAsia="arial" w:hAnsi="arial" w:cs="arial"/>
          <w:b w:val="0"/>
          <w:i w:val="0"/>
          <w:strike w:val="0"/>
          <w:noProof w:val="0"/>
          <w:color w:val="000000"/>
          <w:position w:val="0"/>
          <w:sz w:val="18"/>
          <w:u w:val="none"/>
          <w:vertAlign w:val="baseline"/>
        </w:rPr>
        <w:t xml:space="preserve"> states: “The Privilege of the Writ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shall not be suspended, unless when in Cases of Rebellion or Invasion the Public Safety may require it.”</w:t>
      </w:r>
    </w:p>
  </w:footnote>
  <w:footnote w:id="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hyperlink r:id="rId1" w:history="1">
        <w:r>
          <w:rPr>
            <w:rFonts w:ascii="arial" w:eastAsia="arial" w:hAnsi="arial" w:cs="arial"/>
            <w:b w:val="0"/>
            <w:i/>
            <w:strike w:val="0"/>
            <w:noProof w:val="0"/>
            <w:color w:val="0077CC"/>
            <w:position w:val="0"/>
            <w:sz w:val="18"/>
            <w:u w:val="single"/>
            <w:shd w:val="clear" w:color="auto" w:fill="FFFFFF"/>
            <w:vertAlign w:val="baseline"/>
          </w:rPr>
          <w:t>Harris v. Nelson, 394 U.S. 286, 290–91 (1969)</w:t>
        </w:r>
      </w:hyperlink>
      <w:r>
        <w:rPr>
          <w:rFonts w:ascii="arial" w:eastAsia="arial" w:hAnsi="arial" w:cs="arial"/>
          <w:b w:val="0"/>
          <w:i w:val="0"/>
          <w:strike w:val="0"/>
          <w:noProof w:val="0"/>
          <w:color w:val="000000"/>
          <w:position w:val="0"/>
          <w:sz w:val="18"/>
          <w:u w:val="none"/>
          <w:vertAlign w:val="baseline"/>
        </w:rPr>
        <w:t>.</w:t>
      </w:r>
    </w:p>
  </w:footnote>
  <w:footnote w:id="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Richard H. Fallon et al., Hart and Wechsler’s The Federal Courts and the Federal System 1240–42 (7th ed. 2015); Brandon L. Garrett,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Corpus and Due Process</w:t>
      </w:r>
      <w:r>
        <w:rPr>
          <w:rFonts w:ascii="arial" w:eastAsia="arial" w:hAnsi="arial" w:cs="arial"/>
          <w:b w:val="0"/>
          <w:i w:val="0"/>
          <w:strike w:val="0"/>
          <w:noProof w:val="0"/>
          <w:color w:val="000000"/>
          <w:position w:val="0"/>
          <w:sz w:val="18"/>
          <w:u w:val="none"/>
          <w:vertAlign w:val="baseline"/>
        </w:rPr>
        <w:t xml:space="preserve">, </w:t>
      </w:r>
      <w:hyperlink r:id="rId3" w:history="1">
        <w:r>
          <w:rPr>
            <w:rFonts w:ascii="arial" w:eastAsia="arial" w:hAnsi="arial" w:cs="arial"/>
            <w:b w:val="0"/>
            <w:i/>
            <w:strike w:val="0"/>
            <w:noProof w:val="0"/>
            <w:color w:val="0077CC"/>
            <w:position w:val="0"/>
            <w:sz w:val="18"/>
            <w:u w:val="single"/>
            <w:shd w:val="clear" w:color="auto" w:fill="FFFFFF"/>
            <w:vertAlign w:val="baseline"/>
          </w:rPr>
          <w:t>98 Cornell L. Rev. 47 (2012)</w:t>
        </w:r>
      </w:hyperlink>
      <w:r>
        <w:rPr>
          <w:rFonts w:ascii="arial" w:eastAsia="arial" w:hAnsi="arial" w:cs="arial"/>
          <w:b w:val="0"/>
          <w:i w:val="0"/>
          <w:strike w:val="0"/>
          <w:noProof w:val="0"/>
          <w:color w:val="000000"/>
          <w:position w:val="0"/>
          <w:sz w:val="18"/>
          <w:u w:val="none"/>
          <w:vertAlign w:val="baseline"/>
        </w:rPr>
        <w:t xml:space="preserve">; Hiroshi Motomura, </w:t>
      </w:r>
      <w:r>
        <w:rPr>
          <w:rFonts w:ascii="arial" w:eastAsia="arial" w:hAnsi="arial" w:cs="arial"/>
          <w:b w:val="0"/>
          <w:i/>
          <w:strike w:val="0"/>
          <w:noProof w:val="0"/>
          <w:color w:val="000000"/>
          <w:position w:val="0"/>
          <w:sz w:val="18"/>
          <w:u w:val="none"/>
          <w:vertAlign w:val="baseline"/>
        </w:rPr>
        <w:t xml:space="preserve">Immigration Law and Federal Court Jurisdiction Through the Lens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Corpus</w:t>
      </w:r>
      <w:r>
        <w:rPr>
          <w:rFonts w:ascii="arial" w:eastAsia="arial" w:hAnsi="arial" w:cs="arial"/>
          <w:b w:val="0"/>
          <w:i w:val="0"/>
          <w:strike w:val="0"/>
          <w:noProof w:val="0"/>
          <w:color w:val="000000"/>
          <w:position w:val="0"/>
          <w:sz w:val="18"/>
          <w:u w:val="none"/>
          <w:vertAlign w:val="baseline"/>
        </w:rPr>
        <w:t xml:space="preserve">, </w:t>
      </w:r>
      <w:hyperlink r:id="rId4" w:history="1">
        <w:r>
          <w:rPr>
            <w:rFonts w:ascii="arial" w:eastAsia="arial" w:hAnsi="arial" w:cs="arial"/>
            <w:b w:val="0"/>
            <w:i/>
            <w:strike w:val="0"/>
            <w:noProof w:val="0"/>
            <w:color w:val="0077CC"/>
            <w:position w:val="0"/>
            <w:sz w:val="18"/>
            <w:u w:val="single"/>
            <w:shd w:val="clear" w:color="auto" w:fill="FFFFFF"/>
            <w:vertAlign w:val="baseline"/>
          </w:rPr>
          <w:t>91 Cornell L. Rev. 459 (2006)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David Cole, </w:t>
      </w:r>
      <w:r>
        <w:rPr>
          <w:rFonts w:ascii="arial" w:eastAsia="arial" w:hAnsi="arial" w:cs="arial"/>
          <w:b w:val="0"/>
          <w:i/>
          <w:strike w:val="0"/>
          <w:noProof w:val="0"/>
          <w:color w:val="000000"/>
          <w:position w:val="0"/>
          <w:sz w:val="18"/>
          <w:u w:val="none"/>
          <w:vertAlign w:val="baseline"/>
        </w:rPr>
        <w:t xml:space="preserve">Jurisdiction and Liberty: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Corpus and Due Process as Limits on Congress’s Control of Federal Jurisdiction</w:t>
      </w:r>
      <w:r>
        <w:rPr>
          <w:rFonts w:ascii="arial" w:eastAsia="arial" w:hAnsi="arial" w:cs="arial"/>
          <w:b w:val="0"/>
          <w:i w:val="0"/>
          <w:strike w:val="0"/>
          <w:noProof w:val="0"/>
          <w:color w:val="000000"/>
          <w:position w:val="0"/>
          <w:sz w:val="18"/>
          <w:u w:val="none"/>
          <w:vertAlign w:val="baseline"/>
        </w:rPr>
        <w:t xml:space="preserve">, </w:t>
      </w:r>
      <w:hyperlink r:id="rId5" w:history="1">
        <w:r>
          <w:rPr>
            <w:rFonts w:ascii="arial" w:eastAsia="arial" w:hAnsi="arial" w:cs="arial"/>
            <w:b w:val="0"/>
            <w:i/>
            <w:strike w:val="0"/>
            <w:noProof w:val="0"/>
            <w:color w:val="0077CC"/>
            <w:position w:val="0"/>
            <w:sz w:val="18"/>
            <w:u w:val="single"/>
            <w:shd w:val="clear" w:color="auto" w:fill="FFFFFF"/>
            <w:vertAlign w:val="baseline"/>
          </w:rPr>
          <w:t>86 Geo. L.J. 2481 (1998)</w:t>
        </w:r>
      </w:hyperlink>
      <w:r>
        <w:rPr>
          <w:rFonts w:ascii="arial" w:eastAsia="arial" w:hAnsi="arial" w:cs="arial"/>
          <w:b w:val="0"/>
          <w:i w:val="0"/>
          <w:strike w:val="0"/>
          <w:noProof w:val="0"/>
          <w:color w:val="000000"/>
          <w:position w:val="0"/>
          <w:sz w:val="18"/>
          <w:u w:val="none"/>
          <w:vertAlign w:val="baseline"/>
        </w:rPr>
        <w:t xml:space="preserve">; Richard H. Fallon, </w:t>
      </w:r>
      <w:r>
        <w:rPr>
          <w:rFonts w:ascii="arial" w:eastAsia="arial" w:hAnsi="arial" w:cs="arial"/>
          <w:b w:val="0"/>
          <w:i/>
          <w:strike w:val="0"/>
          <w:noProof w:val="0"/>
          <w:color w:val="000000"/>
          <w:position w:val="0"/>
          <w:sz w:val="18"/>
          <w:u w:val="none"/>
          <w:vertAlign w:val="baseline"/>
        </w:rPr>
        <w:t>Applying the Suspension Clause to Immigration Cases</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98 Colum. L. Rev. 1068 (1998)</w:t>
        </w:r>
      </w:hyperlink>
      <w:r>
        <w:rPr>
          <w:rFonts w:ascii="arial" w:eastAsia="arial" w:hAnsi="arial" w:cs="arial"/>
          <w:b w:val="0"/>
          <w:i w:val="0"/>
          <w:strike w:val="0"/>
          <w:noProof w:val="0"/>
          <w:color w:val="000000"/>
          <w:position w:val="0"/>
          <w:sz w:val="18"/>
          <w:u w:val="none"/>
          <w:vertAlign w:val="baseline"/>
        </w:rPr>
        <w:t xml:space="preserve">; Gerald Neuman,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Corpus, Executive Detention, and the Removal of Aliens</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98 Colum. L. Rev. 961 (1998)</w:t>
        </w:r>
      </w:hyperlink>
      <w:r>
        <w:rPr>
          <w:rFonts w:ascii="arial" w:eastAsia="arial" w:hAnsi="arial" w:cs="arial"/>
          <w:b w:val="0"/>
          <w:i w:val="0"/>
          <w:strike w:val="0"/>
          <w:noProof w:val="0"/>
          <w:color w:val="000000"/>
          <w:position w:val="0"/>
          <w:sz w:val="18"/>
          <w:u w:val="none"/>
          <w:vertAlign w:val="baseline"/>
        </w:rPr>
        <w:t>.</w:t>
      </w:r>
    </w:p>
  </w:footnote>
  <w:footnote w:id="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r>
        <w:rPr>
          <w:rFonts w:ascii="arial" w:eastAsia="arial" w:hAnsi="arial" w:cs="arial"/>
          <w:b w:val="0"/>
          <w:i w:val="0"/>
          <w:strike w:val="0"/>
          <w:noProof w:val="0"/>
          <w:color w:val="000000"/>
          <w:position w:val="0"/>
          <w:sz w:val="18"/>
          <w:u w:val="none"/>
          <w:vertAlign w:val="baseline"/>
        </w:rPr>
        <w:t xml:space="preserve">Lucas Guttentag, </w:t>
      </w:r>
      <w:r>
        <w:rPr>
          <w:rFonts w:ascii="arial" w:eastAsia="arial" w:hAnsi="arial" w:cs="arial"/>
          <w:b w:val="0"/>
          <w:i/>
          <w:strike w:val="0"/>
          <w:noProof w:val="0"/>
          <w:color w:val="000000"/>
          <w:position w:val="0"/>
          <w:sz w:val="18"/>
          <w:u w:val="none"/>
          <w:vertAlign w:val="baseline"/>
        </w:rPr>
        <w:t>The 1996 Immigration Act: Federal Court Jurisdiction—Statutory Restrictions and Constitutional Rights</w:t>
      </w:r>
      <w:r>
        <w:rPr>
          <w:rFonts w:ascii="arial" w:eastAsia="arial" w:hAnsi="arial" w:cs="arial"/>
          <w:b w:val="0"/>
          <w:i w:val="0"/>
          <w:strike w:val="0"/>
          <w:noProof w:val="0"/>
          <w:color w:val="000000"/>
          <w:position w:val="0"/>
          <w:sz w:val="18"/>
          <w:u w:val="none"/>
          <w:vertAlign w:val="baseline"/>
        </w:rPr>
        <w:t>, 74 Interpreter Releases 245, 259 (Feb. 10, 1997).</w:t>
      </w:r>
    </w:p>
  </w:footnote>
  <w:footnote w:id="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8" w:history="1">
        <w:r>
          <w:rPr>
            <w:rFonts w:ascii="arial" w:eastAsia="arial" w:hAnsi="arial" w:cs="arial"/>
            <w:b w:val="0"/>
            <w:i/>
            <w:strike w:val="0"/>
            <w:noProof w:val="0"/>
            <w:color w:val="0077CC"/>
            <w:position w:val="0"/>
            <w:sz w:val="18"/>
            <w:u w:val="single"/>
            <w:shd w:val="clear" w:color="auto" w:fill="FFFFFF"/>
            <w:vertAlign w:val="baseline"/>
          </w:rPr>
          <w:t>Pak v. Reno, 196 F.3d 666, 674 (6th Cir. 1999)</w:t>
        </w:r>
      </w:hyperlink>
      <w:r>
        <w:rPr>
          <w:rFonts w:ascii="arial" w:eastAsia="arial" w:hAnsi="arial" w:cs="arial"/>
          <w:b w:val="0"/>
          <w:i w:val="0"/>
          <w:strike w:val="0"/>
          <w:noProof w:val="0"/>
          <w:color w:val="000000"/>
          <w:position w:val="0"/>
          <w:sz w:val="18"/>
          <w:u w:val="none"/>
          <w:vertAlign w:val="baseline"/>
        </w:rPr>
        <w:t xml:space="preserve"> (declining government’s invitation to import standards for post-conviction cases into analysis required for immigration cases because petitioners in post-conviction cases already have had substantial judicial review, whereas there may be no review in immigration cases if 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writ is not available there).</w:t>
      </w:r>
    </w:p>
  </w:footnote>
  <w:footnote w:id="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9" w:history="1">
        <w:r>
          <w:rPr>
            <w:rFonts w:ascii="arial" w:eastAsia="arial" w:hAnsi="arial" w:cs="arial"/>
            <w:b w:val="0"/>
            <w:i/>
            <w:strike w:val="0"/>
            <w:noProof w:val="0"/>
            <w:color w:val="0077CC"/>
            <w:position w:val="0"/>
            <w:sz w:val="18"/>
            <w:u w:val="single"/>
            <w:shd w:val="clear" w:color="auto" w:fill="FFFFFF"/>
            <w:vertAlign w:val="baseline"/>
          </w:rPr>
          <w:t>Swain v. Pressley, 430 U.S. 372, 386 (1977)</w:t>
        </w:r>
      </w:hyperlink>
      <w:r>
        <w:rPr>
          <w:rFonts w:ascii="arial" w:eastAsia="arial" w:hAnsi="arial" w:cs="arial"/>
          <w:b w:val="0"/>
          <w:i w:val="0"/>
          <w:strike w:val="0"/>
          <w:noProof w:val="0"/>
          <w:color w:val="000000"/>
          <w:position w:val="0"/>
          <w:sz w:val="18"/>
          <w:u w:val="none"/>
          <w:vertAlign w:val="baseline"/>
        </w:rPr>
        <w:t xml:space="preserve"> (Burger, C.J., concurring in part and concurring in the judgment) (the traditional Great Writ was largely a remedy against executive detention) (citing Paul Bator et al., Hart &amp; Wechsler’s The Federal Courts and the Federal System 1513–14 (2d ed. 1973) (“it was of course the clear contemporaneous understanding [of the Framers] that the fundamental function of the writ was to test executive detentions”)).</w:t>
      </w:r>
    </w:p>
  </w:footnote>
  <w:footnote w:id="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r>
        <w:rPr>
          <w:rFonts w:ascii="arial" w:eastAsia="arial" w:hAnsi="arial" w:cs="arial"/>
          <w:b/>
          <w:i/>
          <w:strike w:val="0"/>
          <w:noProof w:val="0"/>
          <w:color w:val="000000"/>
          <w:position w:val="0"/>
          <w:sz w:val="18"/>
          <w:u w:val="none"/>
          <w:vertAlign w:val="baseline"/>
        </w:rPr>
        <w:t>Pub. L. No. 104-132, 110 Stat. 1214</w:t>
      </w:r>
      <w:r>
        <w:rPr>
          <w:rFonts w:ascii="arial" w:eastAsia="arial" w:hAnsi="arial" w:cs="arial"/>
          <w:b w:val="0"/>
          <w:i w:val="0"/>
          <w:strike w:val="0"/>
          <w:noProof w:val="0"/>
          <w:color w:val="000000"/>
          <w:position w:val="0"/>
          <w:sz w:val="18"/>
          <w:u w:val="none"/>
          <w:vertAlign w:val="baseline"/>
        </w:rPr>
        <w:t xml:space="preserve"> (1996).</w:t>
      </w:r>
    </w:p>
  </w:footnote>
  <w:footnote w:id="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9 </w:t>
      </w:r>
      <w:r>
        <w:rPr>
          <w:rFonts w:ascii="arial" w:eastAsia="arial" w:hAnsi="arial" w:cs="arial"/>
          <w:b w:val="0"/>
          <w:i w:val="0"/>
          <w:strike w:val="0"/>
          <w:noProof w:val="0"/>
          <w:color w:val="000000"/>
          <w:position w:val="0"/>
          <w:sz w:val="18"/>
          <w:u w:val="none"/>
          <w:vertAlign w:val="baseline"/>
        </w:rPr>
        <w:t xml:space="preserve">Former </w:t>
      </w:r>
      <w:hyperlink r:id="rId10" w:history="1">
        <w:r>
          <w:rPr>
            <w:rFonts w:ascii="arial" w:eastAsia="arial" w:hAnsi="arial" w:cs="arial"/>
            <w:b w:val="0"/>
            <w:i/>
            <w:strike w:val="0"/>
            <w:noProof w:val="0"/>
            <w:color w:val="0077CC"/>
            <w:position w:val="0"/>
            <w:sz w:val="18"/>
            <w:u w:val="single"/>
            <w:shd w:val="clear" w:color="auto" w:fill="FFFFFF"/>
            <w:vertAlign w:val="baseline"/>
          </w:rPr>
          <w:t>8 U.S.C. §1105a(a)(10)</w:t>
        </w:r>
      </w:hyperlink>
      <w:r>
        <w:rPr>
          <w:rFonts w:ascii="arial" w:eastAsia="arial" w:hAnsi="arial" w:cs="arial"/>
          <w:b w:val="0"/>
          <w:i w:val="0"/>
          <w:strike w:val="0"/>
          <w:noProof w:val="0"/>
          <w:color w:val="000000"/>
          <w:position w:val="0"/>
          <w:sz w:val="18"/>
          <w:u w:val="none"/>
          <w:vertAlign w:val="baseline"/>
        </w:rPr>
        <w:t>.</w:t>
      </w:r>
    </w:p>
  </w:footnote>
  <w:footnote w:id="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10 </w:t>
      </w:r>
      <w:r>
        <w:rPr>
          <w:rFonts w:ascii="arial" w:eastAsia="arial" w:hAnsi="arial" w:cs="arial"/>
          <w:b w:val="0"/>
          <w:i w:val="0"/>
          <w:strike w:val="0"/>
          <w:noProof w:val="0"/>
          <w:color w:val="000000"/>
          <w:position w:val="0"/>
          <w:sz w:val="18"/>
          <w:u w:val="none"/>
          <w:vertAlign w:val="baseline"/>
        </w:rPr>
        <w:t xml:space="preserve">Omnibus Consolidated Appropriations Act, </w:t>
      </w:r>
      <w:r>
        <w:rPr>
          <w:rFonts w:ascii="arial" w:eastAsia="arial" w:hAnsi="arial" w:cs="arial"/>
          <w:b/>
          <w:i/>
          <w:strike w:val="0"/>
          <w:noProof w:val="0"/>
          <w:color w:val="000000"/>
          <w:position w:val="0"/>
          <w:sz w:val="18"/>
          <w:u w:val="none"/>
          <w:vertAlign w:val="baseline"/>
        </w:rPr>
        <w:t>1997, Pub. L. No. 104-208</w:t>
      </w:r>
      <w:r>
        <w:rPr>
          <w:rFonts w:ascii="arial" w:eastAsia="arial" w:hAnsi="arial" w:cs="arial"/>
          <w:b w:val="0"/>
          <w:i w:val="0"/>
          <w:strike w:val="0"/>
          <w:noProof w:val="0"/>
          <w:color w:val="000000"/>
          <w:position w:val="0"/>
          <w:sz w:val="18"/>
          <w:u w:val="none"/>
          <w:vertAlign w:val="baseline"/>
        </w:rPr>
        <w:t xml:space="preserve">, div. C, </w:t>
      </w:r>
      <w:r>
        <w:rPr>
          <w:rFonts w:ascii="arial" w:eastAsia="arial" w:hAnsi="arial" w:cs="arial"/>
          <w:b/>
          <w:i/>
          <w:strike w:val="0"/>
          <w:noProof w:val="0"/>
          <w:color w:val="000000"/>
          <w:position w:val="0"/>
          <w:sz w:val="18"/>
          <w:u w:val="none"/>
          <w:vertAlign w:val="baseline"/>
        </w:rPr>
        <w:t>110 Stat. 3009</w:t>
      </w:r>
      <w:r>
        <w:rPr>
          <w:rFonts w:ascii="arial" w:eastAsia="arial" w:hAnsi="arial" w:cs="arial"/>
          <w:b w:val="0"/>
          <w:i w:val="0"/>
          <w:strike w:val="0"/>
          <w:noProof w:val="0"/>
          <w:color w:val="000000"/>
          <w:position w:val="0"/>
          <w:sz w:val="18"/>
          <w:u w:val="none"/>
          <w:vertAlign w:val="baseline"/>
        </w:rPr>
        <w:t xml:space="preserve">-546, </w:t>
      </w:r>
      <w:r>
        <w:rPr>
          <w:rFonts w:ascii="arial" w:eastAsia="arial" w:hAnsi="arial" w:cs="arial"/>
          <w:b w:val="0"/>
          <w:i/>
          <w:strike w:val="0"/>
          <w:noProof w:val="0"/>
          <w:color w:val="000000"/>
          <w:position w:val="0"/>
          <w:sz w:val="18"/>
          <w:u w:val="none"/>
          <w:vertAlign w:val="baseline"/>
        </w:rPr>
        <w:t>as amended by</w:t>
      </w:r>
      <w:r>
        <w:rPr>
          <w:rFonts w:ascii="arial" w:eastAsia="arial" w:hAnsi="arial" w:cs="arial"/>
          <w:b w:val="0"/>
          <w:i w:val="0"/>
          <w:strike w:val="0"/>
          <w:noProof w:val="0"/>
          <w:color w:val="000000"/>
          <w:position w:val="0"/>
          <w:sz w:val="18"/>
          <w:u w:val="none"/>
          <w:vertAlign w:val="baseline"/>
        </w:rPr>
        <w:t xml:space="preserve"> Act of Oct. 11, 1996, </w:t>
      </w:r>
      <w:r>
        <w:rPr>
          <w:rFonts w:ascii="arial" w:eastAsia="arial" w:hAnsi="arial" w:cs="arial"/>
          <w:b/>
          <w:i/>
          <w:strike w:val="0"/>
          <w:noProof w:val="0"/>
          <w:color w:val="000000"/>
          <w:position w:val="0"/>
          <w:sz w:val="18"/>
          <w:u w:val="none"/>
          <w:vertAlign w:val="baseline"/>
        </w:rPr>
        <w:t>Pub. L. No. 104-302</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110 Stat. 3656</w:t>
      </w:r>
      <w:r>
        <w:rPr>
          <w:rFonts w:ascii="arial" w:eastAsia="arial" w:hAnsi="arial" w:cs="arial"/>
          <w:b w:val="0"/>
          <w:i w:val="0"/>
          <w:strike w:val="0"/>
          <w:noProof w:val="0"/>
          <w:color w:val="000000"/>
          <w:position w:val="0"/>
          <w:sz w:val="18"/>
          <w:u w:val="none"/>
          <w:vertAlign w:val="baseline"/>
        </w:rPr>
        <w:t>. For more on the effect of the judicial review changes wrought by the AEDPA and the IIRAIRA in the non-</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context,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104.13</w:t>
        </w:r>
      </w:hyperlink>
      <w:r>
        <w:rPr>
          <w:rFonts w:ascii="arial" w:eastAsia="arial" w:hAnsi="arial" w:cs="arial"/>
          <w:b w:val="0"/>
          <w:i w:val="0"/>
          <w:strike w:val="0"/>
          <w:noProof w:val="0"/>
          <w:color w:val="000000"/>
          <w:position w:val="0"/>
          <w:sz w:val="18"/>
          <w:u w:val="none"/>
          <w:vertAlign w:val="baseline"/>
        </w:rPr>
        <w:t>.</w:t>
      </w:r>
    </w:p>
  </w:footnote>
  <w:footnote w:id="1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11 </w:t>
      </w:r>
      <w:r>
        <w:rPr>
          <w:rFonts w:ascii="arial" w:eastAsia="arial" w:hAnsi="arial" w:cs="arial"/>
          <w:b w:val="0"/>
          <w:i/>
          <w:strike w:val="0"/>
          <w:noProof w:val="0"/>
          <w:color w:val="000000"/>
          <w:position w:val="0"/>
          <w:sz w:val="18"/>
          <w:u w:val="none"/>
          <w:vertAlign w:val="baseline"/>
        </w:rPr>
        <w:t>Compare</w:t>
      </w:r>
      <w:r>
        <w:rPr>
          <w:rFonts w:ascii="arial" w:eastAsia="arial" w:hAnsi="arial" w:cs="arial"/>
          <w:b w:val="0"/>
          <w:i w:val="0"/>
          <w:strike w:val="0"/>
          <w:noProof w:val="0"/>
          <w:color w:val="000000"/>
          <w:position w:val="0"/>
          <w:sz w:val="18"/>
          <w:u w:val="none"/>
          <w:vertAlign w:val="baseline"/>
        </w:rPr>
        <w:t xml:space="preserve"> </w:t>
      </w:r>
      <w:hyperlink r:id="rId12" w:history="1">
        <w:r>
          <w:rPr>
            <w:rFonts w:ascii="arial" w:eastAsia="arial" w:hAnsi="arial" w:cs="arial"/>
            <w:b w:val="0"/>
            <w:i/>
            <w:strike w:val="0"/>
            <w:noProof w:val="0"/>
            <w:color w:val="0077CC"/>
            <w:position w:val="0"/>
            <w:sz w:val="18"/>
            <w:u w:val="single"/>
            <w:shd w:val="clear" w:color="auto" w:fill="FFFFFF"/>
            <w:vertAlign w:val="baseline"/>
          </w:rPr>
          <w:t>Magana-Pizano v. INS, 152 F.3d 1213, 1220 (9th Cir. 1998)</w:t>
        </w:r>
      </w:hyperlink>
      <w:r>
        <w:rPr>
          <w:rFonts w:ascii="arial" w:eastAsia="arial" w:hAnsi="arial" w:cs="arial"/>
          <w:b w:val="0"/>
          <w:i w:val="0"/>
          <w:strike w:val="0"/>
          <w:noProof w:val="0"/>
          <w:color w:val="000000"/>
          <w:position w:val="0"/>
          <w:sz w:val="18"/>
          <w:u w:val="none"/>
          <w:vertAlign w:val="baseline"/>
        </w:rPr>
        <w:t xml:space="preserve"> (holding that the court’s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jurisdiction survived because of the Constitution’s Suspension Clause), </w:t>
      </w:r>
      <w:r>
        <w:rPr>
          <w:rFonts w:ascii="arial" w:eastAsia="arial" w:hAnsi="arial" w:cs="arial"/>
          <w:b w:val="0"/>
          <w:i/>
          <w:strike w:val="0"/>
          <w:noProof w:val="0"/>
          <w:color w:val="000000"/>
          <w:position w:val="0"/>
          <w:sz w:val="18"/>
          <w:u w:val="none"/>
          <w:vertAlign w:val="baseline"/>
        </w:rPr>
        <w:t>amended</w:t>
      </w:r>
      <w:r>
        <w:rPr>
          <w:rFonts w:ascii="arial" w:eastAsia="arial" w:hAnsi="arial" w:cs="arial"/>
          <w:b w:val="0"/>
          <w:i w:val="0"/>
          <w:strike w:val="0"/>
          <w:noProof w:val="0"/>
          <w:color w:val="000000"/>
          <w:position w:val="0"/>
          <w:sz w:val="18"/>
          <w:u w:val="none"/>
          <w:vertAlign w:val="baseline"/>
        </w:rPr>
        <w:t xml:space="preserve">, </w:t>
      </w:r>
      <w:hyperlink r:id="rId13" w:history="1">
        <w:r>
          <w:rPr>
            <w:rFonts w:ascii="arial" w:eastAsia="arial" w:hAnsi="arial" w:cs="arial"/>
            <w:b w:val="0"/>
            <w:i/>
            <w:strike w:val="0"/>
            <w:noProof w:val="0"/>
            <w:color w:val="0077CC"/>
            <w:position w:val="0"/>
            <w:sz w:val="18"/>
            <w:u w:val="single"/>
            <w:shd w:val="clear" w:color="auto" w:fill="FFFFFF"/>
            <w:vertAlign w:val="baseline"/>
          </w:rPr>
          <w:t>159 F.3d 1217 (9th Cir. 1998)</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aff’d on other grounds after remand</w:t>
      </w:r>
      <w:r>
        <w:rPr>
          <w:rFonts w:ascii="arial" w:eastAsia="arial" w:hAnsi="arial" w:cs="arial"/>
          <w:b w:val="0"/>
          <w:i w:val="0"/>
          <w:strike w:val="0"/>
          <w:noProof w:val="0"/>
          <w:color w:val="000000"/>
          <w:position w:val="0"/>
          <w:sz w:val="18"/>
          <w:u w:val="none"/>
          <w:vertAlign w:val="baseline"/>
        </w:rPr>
        <w:t xml:space="preserve">, </w:t>
      </w:r>
      <w:hyperlink r:id="rId14" w:history="1">
        <w:r>
          <w:rPr>
            <w:rFonts w:ascii="arial" w:eastAsia="arial" w:hAnsi="arial" w:cs="arial"/>
            <w:b w:val="0"/>
            <w:i/>
            <w:strike w:val="0"/>
            <w:noProof w:val="0"/>
            <w:color w:val="0077CC"/>
            <w:position w:val="0"/>
            <w:sz w:val="18"/>
            <w:u w:val="single"/>
            <w:shd w:val="clear" w:color="auto" w:fill="FFFFFF"/>
            <w:vertAlign w:val="baseline"/>
          </w:rPr>
          <w:t>200 F.3d 603 (9th Cir.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with</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LaGuerre v. Reno, 164 F.3d 1035, 1038 (7th Cir. 1998)</w:t>
        </w:r>
      </w:hyperlink>
      <w:r>
        <w:rPr>
          <w:rFonts w:ascii="arial" w:eastAsia="arial" w:hAnsi="arial" w:cs="arial"/>
          <w:b w:val="0"/>
          <w:i w:val="0"/>
          <w:strike w:val="0"/>
          <w:noProof w:val="0"/>
          <w:color w:val="000000"/>
          <w:position w:val="0"/>
          <w:sz w:val="18"/>
          <w:u w:val="none"/>
          <w:vertAlign w:val="baseline"/>
        </w:rPr>
        <w:t xml:space="preserve"> (“[I]t cannot be said that curtailing an optional statutory enlargement violates the suspension clause.”);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(5th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LaGuerre v. Reno, 164 F.3d 1035, 1040 (7th Cir. 1998)</w:t>
        </w:r>
      </w:hyperlink>
      <w:r>
        <w:rPr>
          <w:rFonts w:ascii="arial" w:eastAsia="arial" w:hAnsi="arial" w:cs="arial"/>
          <w:b w:val="0"/>
          <w:i w:val="0"/>
          <w:strike w:val="0"/>
          <w:noProof w:val="0"/>
          <w:color w:val="000000"/>
          <w:position w:val="0"/>
          <w:sz w:val="18"/>
          <w:u w:val="none"/>
          <w:vertAlign w:val="baseline"/>
        </w:rPr>
        <w:t xml:space="preserve"> (judicial review by means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did not survive the enactment of AEDPA § 440(a), but direct review remains available for noncitizens wishing to challenge their deportations on constitutional grounds).</w:t>
      </w:r>
    </w:p>
  </w:footnote>
  <w:footnote w:id="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12 </w:t>
      </w:r>
      <w:hyperlink r:id="rId17" w:history="1">
        <w:r>
          <w:rPr>
            <w:rFonts w:ascii="arial" w:eastAsia="arial" w:hAnsi="arial" w:cs="arial"/>
            <w:b w:val="0"/>
            <w:i/>
            <w:strike w:val="0"/>
            <w:noProof w:val="0"/>
            <w:color w:val="0077CC"/>
            <w:position w:val="0"/>
            <w:sz w:val="18"/>
            <w:u w:val="single"/>
            <w:shd w:val="clear" w:color="auto" w:fill="FFFFFF"/>
            <w:vertAlign w:val="baseline"/>
          </w:rPr>
          <w:t>Calcano-Martinez v. INS, 533 U.S. 348, 349–50 (2001)</w:t>
        </w:r>
      </w:hyperlink>
      <w:r>
        <w:rPr>
          <w:rFonts w:ascii="arial" w:eastAsia="arial" w:hAnsi="arial" w:cs="arial"/>
          <w:b w:val="0"/>
          <w:i w:val="0"/>
          <w:strike w:val="0"/>
          <w:noProof w:val="0"/>
          <w:color w:val="000000"/>
          <w:position w:val="0"/>
          <w:sz w:val="18"/>
          <w:u w:val="none"/>
          <w:vertAlign w:val="baseline"/>
        </w:rPr>
        <w:t xml:space="preserve">;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314 (2001)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104.04[2][e]</w:t>
        </w:r>
      </w:hyperlink>
      <w:r>
        <w:rPr>
          <w:rFonts w:ascii="arial" w:eastAsia="arial" w:hAnsi="arial" w:cs="arial"/>
          <w:b w:val="0"/>
          <w:i w:val="0"/>
          <w:strike w:val="0"/>
          <w:noProof w:val="0"/>
          <w:color w:val="000000"/>
          <w:position w:val="0"/>
          <w:sz w:val="18"/>
          <w:u w:val="none"/>
          <w:vertAlign w:val="baseline"/>
        </w:rPr>
        <w:t>.</w:t>
      </w:r>
    </w:p>
  </w:footnote>
  <w:footnote w:id="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13 </w:t>
      </w:r>
      <w:r>
        <w:rPr>
          <w:rFonts w:ascii="arial" w:eastAsia="arial" w:hAnsi="arial" w:cs="arial"/>
          <w:b w:val="0"/>
          <w:i w:val="0"/>
          <w:strike w:val="0"/>
          <w:noProof w:val="0"/>
          <w:color w:val="000000"/>
          <w:position w:val="0"/>
          <w:sz w:val="18"/>
          <w:u w:val="none"/>
          <w:vertAlign w:val="baseline"/>
        </w:rPr>
        <w:t xml:space="preserve">Division B, Emergency Supplemental Appropriations Act for Defense, the Global War on Terror, and Tsunami Relief, 2005, </w:t>
      </w:r>
      <w:r>
        <w:rPr>
          <w:rFonts w:ascii="arial" w:eastAsia="arial" w:hAnsi="arial" w:cs="arial"/>
          <w:b/>
          <w:i/>
          <w:strike w:val="0"/>
          <w:noProof w:val="0"/>
          <w:color w:val="000000"/>
          <w:position w:val="0"/>
          <w:sz w:val="18"/>
          <w:u w:val="none"/>
          <w:vertAlign w:val="baseline"/>
        </w:rPr>
        <w:t>Pub. L. No. 109-13</w:t>
      </w:r>
      <w:r>
        <w:rPr>
          <w:rFonts w:ascii="arial" w:eastAsia="arial" w:hAnsi="arial" w:cs="arial"/>
          <w:b w:val="0"/>
          <w:i w:val="0"/>
          <w:strike w:val="0"/>
          <w:noProof w:val="0"/>
          <w:color w:val="000000"/>
          <w:position w:val="0"/>
          <w:sz w:val="18"/>
          <w:u w:val="none"/>
          <w:vertAlign w:val="baseline"/>
        </w:rPr>
        <w:t xml:space="preserve">, § 106, </w:t>
      </w:r>
      <w:r>
        <w:rPr>
          <w:rFonts w:ascii="arial" w:eastAsia="arial" w:hAnsi="arial" w:cs="arial"/>
          <w:b/>
          <w:i/>
          <w:strike w:val="0"/>
          <w:noProof w:val="0"/>
          <w:color w:val="000000"/>
          <w:position w:val="0"/>
          <w:sz w:val="18"/>
          <w:u w:val="none"/>
          <w:vertAlign w:val="baseline"/>
        </w:rPr>
        <w:t>119 Stat. 231</w:t>
      </w:r>
      <w:r>
        <w:rPr>
          <w:rFonts w:ascii="arial" w:eastAsia="arial" w:hAnsi="arial" w:cs="arial"/>
          <w:b w:val="0"/>
          <w:i w:val="0"/>
          <w:strike w:val="0"/>
          <w:noProof w:val="0"/>
          <w:color w:val="000000"/>
          <w:position w:val="0"/>
          <w:sz w:val="18"/>
          <w:u w:val="none"/>
          <w:vertAlign w:val="baseline"/>
        </w:rPr>
        <w:t xml:space="preserve">, 310–11.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104.04[2][e][iii]</w:t>
        </w:r>
      </w:hyperlink>
      <w:r>
        <w:rPr>
          <w:rFonts w:ascii="arial" w:eastAsia="arial" w:hAnsi="arial" w:cs="arial"/>
          <w:b w:val="0"/>
          <w:i w:val="0"/>
          <w:strike w:val="0"/>
          <w:noProof w:val="0"/>
          <w:color w:val="000000"/>
          <w:position w:val="0"/>
          <w:sz w:val="18"/>
          <w:u w:val="none"/>
          <w:vertAlign w:val="baseline"/>
        </w:rPr>
        <w:t xml:space="preserve"> for a discussion of the REAL ID Act and its impact on judicial review.</w:t>
      </w:r>
    </w:p>
  </w:footnote>
  <w:footnote w:id="1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14 </w:t>
      </w:r>
      <w:r>
        <w:rPr>
          <w:rFonts w:ascii="arial" w:eastAsia="arial" w:hAnsi="arial" w:cs="arial"/>
          <w:b w:val="0"/>
          <w:i w:val="0"/>
          <w:strike w:val="0"/>
          <w:noProof w:val="0"/>
          <w:color w:val="000000"/>
          <w:position w:val="0"/>
          <w:sz w:val="18"/>
          <w:u w:val="none"/>
          <w:vertAlign w:val="baseline"/>
        </w:rPr>
        <w:t xml:space="preserve">REAL ID Act § 106(a).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104.04[3][d]</w:t>
        </w:r>
      </w:hyperlink>
      <w:r>
        <w:rPr>
          <w:rFonts w:ascii="arial" w:eastAsia="arial" w:hAnsi="arial" w:cs="arial"/>
          <w:b w:val="0"/>
          <w:i w:val="0"/>
          <w:strike w:val="0"/>
          <w:noProof w:val="0"/>
          <w:color w:val="000000"/>
          <w:position w:val="0"/>
          <w:sz w:val="18"/>
          <w:u w:val="none"/>
          <w:vertAlign w:val="baseline"/>
        </w:rPr>
        <w:t xml:space="preserve"> for a discussion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of immigration detention.</w:t>
      </w:r>
    </w:p>
  </w:footnote>
  <w:footnote w:id="1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15 </w:t>
      </w:r>
      <w:hyperlink r:id="rId2" w:history="1">
        <w:r>
          <w:rPr>
            <w:rFonts w:ascii="arial" w:eastAsia="arial" w:hAnsi="arial" w:cs="arial"/>
            <w:b w:val="0"/>
            <w:i/>
            <w:strike w:val="0"/>
            <w:noProof w:val="0"/>
            <w:color w:val="0077CC"/>
            <w:position w:val="0"/>
            <w:sz w:val="18"/>
            <w:u w:val="single"/>
            <w:shd w:val="clear" w:color="auto" w:fill="FFFFFF"/>
            <w:vertAlign w:val="baseline"/>
          </w:rPr>
          <w:t>U.S. Const. art. I, § 9, cl. 2</w:t>
        </w:r>
      </w:hyperlink>
      <w:r>
        <w:rPr>
          <w:rFonts w:ascii="arial" w:eastAsia="arial" w:hAnsi="arial" w:cs="arial"/>
          <w:b w:val="0"/>
          <w:i w:val="0"/>
          <w:strike w:val="0"/>
          <w:noProof w:val="0"/>
          <w:color w:val="000000"/>
          <w:position w:val="0"/>
          <w:sz w:val="18"/>
          <w:u w:val="none"/>
          <w:vertAlign w:val="baseline"/>
        </w:rPr>
        <w:t xml:space="preserve"> (the “Suspension Clause”).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note 4.</w:t>
      </w:r>
    </w:p>
  </w:footnote>
  <w:footnote w:id="1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16 </w:t>
      </w:r>
      <w:r>
        <w:rPr>
          <w:rFonts w:ascii="arial" w:eastAsia="arial" w:hAnsi="arial" w:cs="arial"/>
          <w:b w:val="0"/>
          <w:i w:val="0"/>
          <w:strike w:val="0"/>
          <w:noProof w:val="0"/>
          <w:color w:val="000000"/>
          <w:position w:val="0"/>
          <w:sz w:val="18"/>
          <w:u w:val="none"/>
          <w:vertAlign w:val="baseline"/>
        </w:rPr>
        <w:t xml:space="preserve">Professor Henry Hart, in his celebrated dialogue on Congress’s power to regulate federal court jurisdiction, discussed the possibility of Congress cutting off all judicial review for noncitizens facing deportation. He concluded that doing so would be in “direct violation” of the Suspension Clause. Henry Hart, </w:t>
      </w:r>
      <w:r>
        <w:rPr>
          <w:rFonts w:ascii="arial" w:eastAsia="arial" w:hAnsi="arial" w:cs="arial"/>
          <w:b w:val="0"/>
          <w:i/>
          <w:strike w:val="0"/>
          <w:noProof w:val="0"/>
          <w:color w:val="000000"/>
          <w:position w:val="0"/>
          <w:sz w:val="18"/>
          <w:u w:val="none"/>
          <w:vertAlign w:val="baseline"/>
        </w:rPr>
        <w:t>The Power of Congress to Limit the Jurisdiction of Federal Courts: An Exercise in Dialectic</w:t>
      </w:r>
      <w:r>
        <w:rPr>
          <w:rFonts w:ascii="arial" w:eastAsia="arial" w:hAnsi="arial" w:cs="arial"/>
          <w:b w:val="0"/>
          <w:i w:val="0"/>
          <w:strike w:val="0"/>
          <w:noProof w:val="0"/>
          <w:color w:val="000000"/>
          <w:position w:val="0"/>
          <w:sz w:val="18"/>
          <w:u w:val="none"/>
          <w:vertAlign w:val="baseline"/>
        </w:rPr>
        <w:t>, 66 Harv. L. Rev. 1362, 1393–97 (1953).</w:t>
      </w:r>
    </w:p>
  </w:footnote>
  <w:footnote w:id="1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314 (2001)</w:t>
        </w:r>
      </w:hyperlink>
      <w:r>
        <w:rPr>
          <w:rFonts w:ascii="arial" w:eastAsia="arial" w:hAnsi="arial" w:cs="arial"/>
          <w:b w:val="0"/>
          <w:i w:val="0"/>
          <w:strike w:val="0"/>
          <w:noProof w:val="0"/>
          <w:color w:val="000000"/>
          <w:position w:val="0"/>
          <w:sz w:val="18"/>
          <w:u w:val="none"/>
          <w:vertAlign w:val="baseline"/>
        </w:rPr>
        <w:t xml:space="preserve"> (both constitutional and statutory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survive the 1996 statutes); </w:t>
      </w:r>
      <w:hyperlink r:id="rId17" w:history="1">
        <w:r>
          <w:rPr>
            <w:rFonts w:ascii="arial" w:eastAsia="arial" w:hAnsi="arial" w:cs="arial"/>
            <w:b w:val="0"/>
            <w:i/>
            <w:strike w:val="0"/>
            <w:noProof w:val="0"/>
            <w:color w:val="0077CC"/>
            <w:position w:val="0"/>
            <w:sz w:val="18"/>
            <w:u w:val="single"/>
            <w:shd w:val="clear" w:color="auto" w:fill="FFFFFF"/>
            <w:vertAlign w:val="baseline"/>
          </w:rPr>
          <w:t>Calcano-Martinez v. INS, 533 U.S. 348 (2001)</w:t>
        </w:r>
      </w:hyperlink>
      <w:r>
        <w:rPr>
          <w:rFonts w:ascii="arial" w:eastAsia="arial" w:hAnsi="arial" w:cs="arial"/>
          <w:b w:val="0"/>
          <w:i w:val="0"/>
          <w:strike w:val="0"/>
          <w:noProof w:val="0"/>
          <w:color w:val="000000"/>
          <w:position w:val="0"/>
          <w:sz w:val="18"/>
          <w:u w:val="none"/>
          <w:vertAlign w:val="baseline"/>
        </w:rPr>
        <w:t xml:space="preserve"> (same); </w:t>
      </w:r>
      <w:hyperlink r:id="rId20" w:history="1">
        <w:r>
          <w:rPr>
            <w:rFonts w:ascii="arial" w:eastAsia="arial" w:hAnsi="arial" w:cs="arial"/>
            <w:b w:val="0"/>
            <w:i/>
            <w:strike w:val="0"/>
            <w:noProof w:val="0"/>
            <w:color w:val="0077CC"/>
            <w:position w:val="0"/>
            <w:sz w:val="18"/>
            <w:u w:val="single"/>
            <w:shd w:val="clear" w:color="auto" w:fill="FFFFFF"/>
            <w:vertAlign w:val="baseline"/>
          </w:rPr>
          <w:t>Fernandez v. INS, 113 F.3d 1151, 1154 n.4, 1155 (10th Cir. 1997)</w:t>
        </w:r>
      </w:hyperlink>
      <w:r>
        <w:rPr>
          <w:rFonts w:ascii="arial" w:eastAsia="arial" w:hAnsi="arial" w:cs="arial"/>
          <w:b w:val="0"/>
          <w:i w:val="0"/>
          <w:strike w:val="0"/>
          <w:noProof w:val="0"/>
          <w:color w:val="000000"/>
          <w:position w:val="0"/>
          <w:sz w:val="18"/>
          <w:u w:val="none"/>
          <w:vertAlign w:val="baseline"/>
        </w:rPr>
        <w:t xml:space="preserve"> (although AEDPA § 440(a) eliminates the courts of appeals’ jurisdiction to review petitioners’ final orders of deportation, it is possible that review remains available for “substantial” constitutional errors); </w:t>
      </w:r>
      <w:hyperlink r:id="rId21" w:history="1">
        <w:r>
          <w:rPr>
            <w:rFonts w:ascii="arial" w:eastAsia="arial" w:hAnsi="arial" w:cs="arial"/>
            <w:b w:val="0"/>
            <w:i/>
            <w:strike w:val="0"/>
            <w:noProof w:val="0"/>
            <w:color w:val="0077CC"/>
            <w:position w:val="0"/>
            <w:sz w:val="18"/>
            <w:u w:val="single"/>
            <w:shd w:val="clear" w:color="auto" w:fill="FFFFFF"/>
            <w:vertAlign w:val="baseline"/>
          </w:rPr>
          <w:t>Kolster v. INS, 101 F.3d 785, 790–91 n.4 (1st Cir. 1996)</w:t>
        </w:r>
      </w:hyperlink>
      <w:r>
        <w:rPr>
          <w:rFonts w:ascii="arial" w:eastAsia="arial" w:hAnsi="arial" w:cs="arial"/>
          <w:b w:val="0"/>
          <w:i w:val="0"/>
          <w:strike w:val="0"/>
          <w:noProof w:val="0"/>
          <w:color w:val="000000"/>
          <w:position w:val="0"/>
          <w:sz w:val="18"/>
          <w:u w:val="none"/>
          <w:vertAlign w:val="baseline"/>
        </w:rPr>
        <w:t xml:space="preserve"> (several potential bases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exist, including </w:t>
      </w:r>
      <w:hyperlink r:id="rId22" w:history="1">
        <w:r>
          <w:rPr>
            <w:rFonts w:ascii="arial" w:eastAsia="arial" w:hAnsi="arial" w:cs="arial"/>
            <w:b w:val="0"/>
            <w:i/>
            <w:strike w:val="0"/>
            <w:noProof w:val="0"/>
            <w:color w:val="0077CC"/>
            <w:position w:val="0"/>
            <w:sz w:val="18"/>
            <w:u w:val="single"/>
            <w:shd w:val="clear" w:color="auto" w:fill="FFFFFF"/>
            <w:vertAlign w:val="baseline"/>
          </w:rPr>
          <w:t>28 U.S.C. §§ 1651</w:t>
        </w:r>
      </w:hyperlink>
      <w:r>
        <w:rPr>
          <w:rFonts w:ascii="arial" w:eastAsia="arial" w:hAnsi="arial" w:cs="arial"/>
          <w:b w:val="0"/>
          <w:i w:val="0"/>
          <w:strike w:val="0"/>
          <w:noProof w:val="0"/>
          <w:color w:val="000000"/>
          <w:position w:val="0"/>
          <w:sz w:val="18"/>
          <w:u w:val="none"/>
          <w:vertAlign w:val="baseline"/>
        </w:rPr>
        <w:t xml:space="preserve">, </w:t>
      </w:r>
      <w:hyperlink r:id="rId23" w:history="1">
        <w:r>
          <w:rPr>
            <w:rFonts w:ascii="arial" w:eastAsia="arial" w:hAnsi="arial" w:cs="arial"/>
            <w:b w:val="0"/>
            <w:i/>
            <w:strike w:val="0"/>
            <w:noProof w:val="0"/>
            <w:color w:val="0077CC"/>
            <w:position w:val="0"/>
            <w:sz w:val="18"/>
            <w:u w:val="single"/>
            <w:shd w:val="clear" w:color="auto" w:fill="FFFFFF"/>
            <w:vertAlign w:val="baseline"/>
          </w:rPr>
          <w:t>2241</w:t>
        </w:r>
      </w:hyperlink>
      <w:r>
        <w:rPr>
          <w:rFonts w:ascii="arial" w:eastAsia="arial" w:hAnsi="arial" w:cs="arial"/>
          <w:b w:val="0"/>
          <w:i w:val="0"/>
          <w:strike w:val="0"/>
          <w:noProof w:val="0"/>
          <w:color w:val="000000"/>
          <w:position w:val="0"/>
          <w:sz w:val="18"/>
          <w:u w:val="none"/>
          <w:vertAlign w:val="baseline"/>
        </w:rPr>
        <w:t xml:space="preserve"> and a “free-standing constitutional authorization”); </w:t>
      </w:r>
      <w:r>
        <w:rPr>
          <w:rFonts w:ascii="arial" w:eastAsia="arial" w:hAnsi="arial" w:cs="arial"/>
          <w:b w:val="0"/>
          <w:i/>
          <w:strike w:val="0"/>
          <w:noProof w:val="0"/>
          <w:color w:val="000000"/>
          <w:position w:val="0"/>
          <w:sz w:val="18"/>
          <w:u w:val="none"/>
          <w:vertAlign w:val="baseline"/>
        </w:rPr>
        <w:t>cf</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LaGuerre v. Reno, 164 F.3d 1035, 1038 (7th Cir. 1998)</w:t>
        </w:r>
      </w:hyperlink>
      <w:r>
        <w:rPr>
          <w:rFonts w:ascii="arial" w:eastAsia="arial" w:hAnsi="arial" w:cs="arial"/>
          <w:b w:val="0"/>
          <w:i w:val="0"/>
          <w:strike w:val="0"/>
          <w:noProof w:val="0"/>
          <w:color w:val="000000"/>
          <w:position w:val="0"/>
          <w:sz w:val="18"/>
          <w:u w:val="none"/>
          <w:vertAlign w:val="baseline"/>
        </w:rPr>
        <w:t xml:space="preserve"> (expressing “doubt that the suspension clause requires preserving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as a vehicle for challenging final orders of deportation in cases in which the jurisdiction of the immigration authorities over the alien is not in question”).</w:t>
      </w:r>
    </w:p>
  </w:footnote>
  <w:footnote w:id="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18 </w:t>
      </w:r>
      <w:hyperlink r:id="rId24" w:history="1">
        <w:r>
          <w:rPr>
            <w:rFonts w:ascii="arial" w:eastAsia="arial" w:hAnsi="arial" w:cs="arial"/>
            <w:b w:val="0"/>
            <w:i/>
            <w:strike w:val="0"/>
            <w:noProof w:val="0"/>
            <w:color w:val="0077CC"/>
            <w:position w:val="0"/>
            <w:sz w:val="18"/>
            <w:u w:val="single"/>
            <w:shd w:val="clear" w:color="auto" w:fill="FFFFFF"/>
            <w:vertAlign w:val="baseline"/>
          </w:rPr>
          <w:t>Wright v. Ouellette, 171 F.3d 8, 10 (1st Cir. 1999)</w:t>
        </w:r>
      </w:hyperlink>
      <w:r>
        <w:rPr>
          <w:rFonts w:ascii="arial" w:eastAsia="arial" w:hAnsi="arial" w:cs="arial"/>
          <w:b w:val="0"/>
          <w:i w:val="0"/>
          <w:strike w:val="0"/>
          <w:noProof w:val="0"/>
          <w:color w:val="000000"/>
          <w:position w:val="0"/>
          <w:sz w:val="18"/>
          <w:u w:val="none"/>
          <w:vertAlign w:val="baseline"/>
        </w:rPr>
        <w:t xml:space="preserve"> (in aftermath of </w:t>
      </w:r>
      <w:hyperlink r:id="rId25" w:history="1">
        <w:r>
          <w:rPr>
            <w:rFonts w:ascii="arial" w:eastAsia="arial" w:hAnsi="arial" w:cs="arial"/>
            <w:b w:val="0"/>
            <w:i/>
            <w:strike w:val="0"/>
            <w:noProof w:val="0"/>
            <w:color w:val="0077CC"/>
            <w:position w:val="0"/>
            <w:sz w:val="18"/>
            <w:u w:val="single"/>
            <w:shd w:val="clear" w:color="auto" w:fill="FFFFFF"/>
            <w:vertAlign w:val="baseline"/>
          </w:rPr>
          <w:t>Goncalves v. Reno, 144 F.3d 110 (1st Cir. 1998)</w:t>
        </w:r>
      </w:hyperlink>
      <w:r>
        <w:rPr>
          <w:rFonts w:ascii="arial" w:eastAsia="arial" w:hAnsi="arial" w:cs="arial"/>
          <w:b w:val="0"/>
          <w:i w:val="0"/>
          <w:strike w:val="0"/>
          <w:noProof w:val="0"/>
          <w:color w:val="000000"/>
          <w:position w:val="0"/>
          <w:sz w:val="18"/>
          <w:u w:val="none"/>
          <w:vertAlign w:val="baseline"/>
        </w:rPr>
        <w:t xml:space="preserve">, the parties agreed that the district court had jurisdiction over this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action regarding AEDPA § 440(d) and </w:t>
      </w:r>
      <w:hyperlink r:id="rId26" w:history="1">
        <w:r>
          <w:rPr>
            <w:rFonts w:ascii="arial" w:eastAsia="arial" w:hAnsi="arial" w:cs="arial"/>
            <w:b w:val="0"/>
            <w:i/>
            <w:strike w:val="0"/>
            <w:noProof w:val="0"/>
            <w:color w:val="0077CC"/>
            <w:position w:val="0"/>
            <w:sz w:val="18"/>
            <w:u w:val="single"/>
            <w:shd w:val="clear" w:color="auto" w:fill="FFFFFF"/>
            <w:vertAlign w:val="baseline"/>
          </w:rPr>
          <w:t>INA § 212(c)</w:t>
        </w:r>
      </w:hyperlink>
      <w:r>
        <w:rPr>
          <w:rFonts w:ascii="arial" w:eastAsia="arial" w:hAnsi="arial" w:cs="arial"/>
          <w:b w:val="0"/>
          <w:i w:val="0"/>
          <w:strike w:val="0"/>
          <w:noProof w:val="0"/>
          <w:color w:val="000000"/>
          <w:position w:val="0"/>
          <w:sz w:val="18"/>
          <w:u w:val="none"/>
          <w:vertAlign w:val="baseline"/>
        </w:rPr>
        <w:t xml:space="preserve"> relief from deportation); </w:t>
      </w:r>
      <w:hyperlink r:id="rId27" w:history="1">
        <w:r>
          <w:rPr>
            <w:rFonts w:ascii="arial" w:eastAsia="arial" w:hAnsi="arial" w:cs="arial"/>
            <w:b w:val="0"/>
            <w:i/>
            <w:strike w:val="0"/>
            <w:noProof w:val="0"/>
            <w:color w:val="0077CC"/>
            <w:position w:val="0"/>
            <w:sz w:val="18"/>
            <w:u w:val="single"/>
            <w:shd w:val="clear" w:color="auto" w:fill="FFFFFF"/>
            <w:vertAlign w:val="baseline"/>
          </w:rPr>
          <w:t>Mansour v. INS, 123 F.3d 423, 426 (6th Cir. 1997)</w:t>
        </w:r>
      </w:hyperlink>
      <w:r>
        <w:rPr>
          <w:rFonts w:ascii="arial" w:eastAsia="arial" w:hAnsi="arial" w:cs="arial"/>
          <w:b w:val="0"/>
          <w:i w:val="0"/>
          <w:strike w:val="0"/>
          <w:noProof w:val="0"/>
          <w:color w:val="000000"/>
          <w:position w:val="0"/>
          <w:sz w:val="18"/>
          <w:u w:val="none"/>
          <w:vertAlign w:val="baseline"/>
        </w:rPr>
        <w:t xml:space="preserve"> (at oral argument the government conceded that some form of judicial review of a deportation order was available, though the parties disagreed as to the scope); </w:t>
      </w:r>
      <w:hyperlink r:id="rId20" w:history="1">
        <w:r>
          <w:rPr>
            <w:rFonts w:ascii="arial" w:eastAsia="arial" w:hAnsi="arial" w:cs="arial"/>
            <w:b w:val="0"/>
            <w:i/>
            <w:strike w:val="0"/>
            <w:noProof w:val="0"/>
            <w:color w:val="0077CC"/>
            <w:position w:val="0"/>
            <w:sz w:val="18"/>
            <w:u w:val="single"/>
            <w:shd w:val="clear" w:color="auto" w:fill="FFFFFF"/>
            <w:vertAlign w:val="baseline"/>
          </w:rPr>
          <w:t>Fernandez v. INS, 113 F.3d 1151, 1155 (10th Cir. 1997)</w:t>
        </w:r>
      </w:hyperlink>
      <w:r>
        <w:rPr>
          <w:rFonts w:ascii="arial" w:eastAsia="arial" w:hAnsi="arial" w:cs="arial"/>
          <w:b w:val="0"/>
          <w:i w:val="0"/>
          <w:strike w:val="0"/>
          <w:noProof w:val="0"/>
          <w:color w:val="000000"/>
          <w:position w:val="0"/>
          <w:sz w:val="18"/>
          <w:u w:val="none"/>
          <w:vertAlign w:val="baseline"/>
        </w:rPr>
        <w:t xml:space="preserve"> (“the government concedes that AEDPA § 440(a) preserves judicial review for ‘substantial’ constitutional errors”); </w:t>
      </w:r>
      <w:hyperlink r:id="rId21" w:history="1">
        <w:r>
          <w:rPr>
            <w:rFonts w:ascii="arial" w:eastAsia="arial" w:hAnsi="arial" w:cs="arial"/>
            <w:b w:val="0"/>
            <w:i/>
            <w:strike w:val="0"/>
            <w:noProof w:val="0"/>
            <w:color w:val="0077CC"/>
            <w:position w:val="0"/>
            <w:sz w:val="18"/>
            <w:u w:val="single"/>
            <w:shd w:val="clear" w:color="auto" w:fill="FFFFFF"/>
            <w:vertAlign w:val="baseline"/>
          </w:rPr>
          <w:t>Kolster v. INS, 101 F.3d 785, 790 (1st Cir. 1996)</w:t>
        </w:r>
      </w:hyperlink>
      <w:r>
        <w:rPr>
          <w:rFonts w:ascii="arial" w:eastAsia="arial" w:hAnsi="arial" w:cs="arial"/>
          <w:b w:val="0"/>
          <w:i w:val="0"/>
          <w:strike w:val="0"/>
          <w:noProof w:val="0"/>
          <w:color w:val="000000"/>
          <w:position w:val="0"/>
          <w:sz w:val="18"/>
          <w:u w:val="none"/>
          <w:vertAlign w:val="baseline"/>
        </w:rPr>
        <w:t xml:space="preserve"> (any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required by the Constitution remains available); </w:t>
      </w:r>
      <w:hyperlink r:id="rId28" w:history="1">
        <w:r>
          <w:rPr>
            <w:rFonts w:ascii="arial" w:eastAsia="arial" w:hAnsi="arial" w:cs="arial"/>
            <w:b w:val="0"/>
            <w:i/>
            <w:strike w:val="0"/>
            <w:noProof w:val="0"/>
            <w:color w:val="0077CC"/>
            <w:position w:val="0"/>
            <w:sz w:val="18"/>
            <w:u w:val="single"/>
            <w:shd w:val="clear" w:color="auto" w:fill="FFFFFF"/>
            <w:vertAlign w:val="baseline"/>
          </w:rPr>
          <w:t>Morisath v. Smith, 988 F. Supp. 1333 (W.D. Wash. 1997)</w:t>
        </w:r>
      </w:hyperlink>
      <w:r>
        <w:rPr>
          <w:rFonts w:ascii="arial" w:eastAsia="arial" w:hAnsi="arial" w:cs="arial"/>
          <w:b w:val="0"/>
          <w:i w:val="0"/>
          <w:strike w:val="0"/>
          <w:noProof w:val="0"/>
          <w:color w:val="000000"/>
          <w:position w:val="0"/>
          <w:sz w:val="18"/>
          <w:u w:val="none"/>
          <w:vertAlign w:val="baseline"/>
        </w:rPr>
        <w:t xml:space="preserve">; </w:t>
      </w:r>
      <w:hyperlink r:id="rId29" w:history="1">
        <w:r>
          <w:rPr>
            <w:rFonts w:ascii="arial" w:eastAsia="arial" w:hAnsi="arial" w:cs="arial"/>
            <w:b w:val="0"/>
            <w:i/>
            <w:strike w:val="0"/>
            <w:noProof w:val="0"/>
            <w:color w:val="0077CC"/>
            <w:position w:val="0"/>
            <w:sz w:val="18"/>
            <w:u w:val="single"/>
            <w:shd w:val="clear" w:color="auto" w:fill="FFFFFF"/>
            <w:vertAlign w:val="baseline"/>
          </w:rPr>
          <w:t>Ozoanya v. Att’y Gen., 968 F. Supp. 1, 5 (D.D.C. 1997)</w:t>
        </w:r>
      </w:hyperlink>
      <w:r>
        <w:rPr>
          <w:rFonts w:ascii="arial" w:eastAsia="arial" w:hAnsi="arial" w:cs="arial"/>
          <w:b w:val="0"/>
          <w:i w:val="0"/>
          <w:strike w:val="0"/>
          <w:noProof w:val="0"/>
          <w:color w:val="000000"/>
          <w:position w:val="0"/>
          <w:sz w:val="18"/>
          <w:u w:val="none"/>
          <w:vertAlign w:val="baseline"/>
        </w:rPr>
        <w:t xml:space="preserve"> (the government acknowledged that, despite the sweeping language of AEDPA § 440(a) and IIRAIRA § 306, claims alleging “substantial” constitutional violations in deportation proceedings still were subject to judicial consideration).</w:t>
      </w:r>
    </w:p>
  </w:footnote>
  <w:footnote w:id="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30" w:history="1">
        <w:r>
          <w:rPr>
            <w:rFonts w:ascii="arial" w:eastAsia="arial" w:hAnsi="arial" w:cs="arial"/>
            <w:b w:val="0"/>
            <w:i/>
            <w:strike w:val="0"/>
            <w:noProof w:val="0"/>
            <w:color w:val="0077CC"/>
            <w:position w:val="0"/>
            <w:sz w:val="18"/>
            <w:u w:val="single"/>
            <w:shd w:val="clear" w:color="auto" w:fill="FFFFFF"/>
            <w:vertAlign w:val="baseline"/>
          </w:rPr>
          <w:t>Turkhan v. Perryman, 188 F.3d 814, 823 (7th Cir. 1999)</w:t>
        </w:r>
      </w:hyperlink>
      <w:r>
        <w:rPr>
          <w:rFonts w:ascii="arial" w:eastAsia="arial" w:hAnsi="arial" w:cs="arial"/>
          <w:b w:val="0"/>
          <w:i w:val="0"/>
          <w:strike w:val="0"/>
          <w:noProof w:val="0"/>
          <w:color w:val="000000"/>
          <w:position w:val="0"/>
          <w:sz w:val="18"/>
          <w:u w:val="none"/>
          <w:vertAlign w:val="baseline"/>
        </w:rPr>
        <w:t xml:space="preserve"> (the government argued that the district court lacked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jurisdiction and that the court of appeals is the appropriate forum to the extent any review of final deportation orders is required by the Constitution);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(5th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 xml:space="preserve">; </w:t>
      </w:r>
      <w:hyperlink r:id="rId31" w:history="1">
        <w:r>
          <w:rPr>
            <w:rFonts w:ascii="arial" w:eastAsia="arial" w:hAnsi="arial" w:cs="arial"/>
            <w:b w:val="0"/>
            <w:i/>
            <w:strike w:val="0"/>
            <w:noProof w:val="0"/>
            <w:color w:val="0077CC"/>
            <w:position w:val="0"/>
            <w:sz w:val="18"/>
            <w:u w:val="single"/>
            <w:shd w:val="clear" w:color="auto" w:fill="FFFFFF"/>
            <w:vertAlign w:val="baseline"/>
          </w:rPr>
          <w:t>Singh v. Reno, 182 F.3d 504 (7th Cir. 1999)</w:t>
        </w:r>
      </w:hyperlink>
      <w:r>
        <w:rPr>
          <w:rFonts w:ascii="arial" w:eastAsia="arial" w:hAnsi="arial" w:cs="arial"/>
          <w:b w:val="0"/>
          <w:i w:val="0"/>
          <w:strike w:val="0"/>
          <w:noProof w:val="0"/>
          <w:color w:val="000000"/>
          <w:position w:val="0"/>
          <w:sz w:val="18"/>
          <w:u w:val="none"/>
          <w:vertAlign w:val="baseline"/>
        </w:rPr>
        <w:t xml:space="preserve">. Regarding the scope of issues that may be raised in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proceeding post-AEDPA and IIRAIRA,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104.04[3][b]</w:t>
        </w:r>
      </w:hyperlink>
      <w:r>
        <w:rPr>
          <w:rFonts w:ascii="arial" w:eastAsia="arial" w:hAnsi="arial" w:cs="arial"/>
          <w:b w:val="0"/>
          <w:i w:val="0"/>
          <w:strike w:val="0"/>
          <w:noProof w:val="0"/>
          <w:color w:val="000000"/>
          <w:position w:val="0"/>
          <w:sz w:val="18"/>
          <w:u w:val="none"/>
          <w:vertAlign w:val="baseline"/>
        </w:rPr>
        <w:t>.</w:t>
      </w:r>
    </w:p>
  </w:footnote>
  <w:footnote w:id="2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20 </w:t>
      </w:r>
      <w:r>
        <w:rPr>
          <w:rFonts w:ascii="arial" w:eastAsia="arial" w:hAnsi="arial" w:cs="arial"/>
          <w:b w:val="0"/>
          <w:i w:val="0"/>
          <w:strike w:val="0"/>
          <w:noProof w:val="0"/>
          <w:color w:val="000000"/>
          <w:position w:val="0"/>
          <w:sz w:val="18"/>
          <w:u w:val="none"/>
          <w:vertAlign w:val="baseline"/>
        </w:rPr>
        <w:t xml:space="preserve">In 1961, the INA was amended to add procedures for judicial review through petitions for review to the courts of appeals. They were codified at </w:t>
      </w:r>
      <w:hyperlink r:id="rId10" w:history="1">
        <w:r>
          <w:rPr>
            <w:rFonts w:ascii="arial" w:eastAsia="arial" w:hAnsi="arial" w:cs="arial"/>
            <w:b w:val="0"/>
            <w:i/>
            <w:strike w:val="0"/>
            <w:noProof w:val="0"/>
            <w:color w:val="0077CC"/>
            <w:position w:val="0"/>
            <w:sz w:val="18"/>
            <w:u w:val="single"/>
            <w:shd w:val="clear" w:color="auto" w:fill="FFFFFF"/>
            <w:vertAlign w:val="baseline"/>
          </w:rPr>
          <w:t>INA § 106</w:t>
        </w:r>
      </w:hyperlink>
      <w:r>
        <w:rPr>
          <w:rFonts w:ascii="arial" w:eastAsia="arial" w:hAnsi="arial" w:cs="arial"/>
          <w:b w:val="0"/>
          <w:i w:val="0"/>
          <w:strike w:val="0"/>
          <w:noProof w:val="0"/>
          <w:color w:val="000000"/>
          <w:position w:val="0"/>
          <w:sz w:val="18"/>
          <w:u w:val="none"/>
          <w:vertAlign w:val="baseline"/>
        </w:rPr>
        <w:t xml:space="preserve"> from 1961 until repealed by the IIRAIRA in September 1996. For a short time, review of final orders was available under the then new Administrative Procedure Act (APA). </w:t>
      </w:r>
      <w:hyperlink r:id="rId32" w:history="1">
        <w:r>
          <w:rPr>
            <w:rFonts w:ascii="arial" w:eastAsia="arial" w:hAnsi="arial" w:cs="arial"/>
            <w:b w:val="0"/>
            <w:i/>
            <w:strike w:val="0"/>
            <w:noProof w:val="0"/>
            <w:color w:val="0077CC"/>
            <w:position w:val="0"/>
            <w:sz w:val="18"/>
            <w:u w:val="single"/>
            <w:shd w:val="clear" w:color="auto" w:fill="FFFFFF"/>
            <w:vertAlign w:val="baseline"/>
          </w:rPr>
          <w:t>Brownell v. Shung, 352 U.S. 180 (1956)</w:t>
        </w:r>
      </w:hyperlink>
      <w:r>
        <w:rPr>
          <w:rFonts w:ascii="arial" w:eastAsia="arial" w:hAnsi="arial" w:cs="arial"/>
          <w:b w:val="0"/>
          <w:i w:val="0"/>
          <w:strike w:val="0"/>
          <w:noProof w:val="0"/>
          <w:color w:val="000000"/>
          <w:position w:val="0"/>
          <w:sz w:val="18"/>
          <w:u w:val="none"/>
          <w:vertAlign w:val="baseline"/>
        </w:rPr>
        <w:t xml:space="preserve"> (APA review of exclusion orders); </w:t>
      </w:r>
      <w:hyperlink r:id="rId33" w:history="1">
        <w:r>
          <w:rPr>
            <w:rFonts w:ascii="arial" w:eastAsia="arial" w:hAnsi="arial" w:cs="arial"/>
            <w:b w:val="0"/>
            <w:i/>
            <w:strike w:val="0"/>
            <w:noProof w:val="0"/>
            <w:color w:val="0077CC"/>
            <w:position w:val="0"/>
            <w:sz w:val="18"/>
            <w:u w:val="single"/>
            <w:shd w:val="clear" w:color="auto" w:fill="FFFFFF"/>
            <w:vertAlign w:val="baseline"/>
          </w:rPr>
          <w:t>Shaughnessy v. Pedreiro, 349 U.S. 48 (1955)</w:t>
        </w:r>
      </w:hyperlink>
      <w:r>
        <w:rPr>
          <w:rFonts w:ascii="arial" w:eastAsia="arial" w:hAnsi="arial" w:cs="arial"/>
          <w:b w:val="0"/>
          <w:i w:val="0"/>
          <w:strike w:val="0"/>
          <w:noProof w:val="0"/>
          <w:color w:val="000000"/>
          <w:position w:val="0"/>
          <w:sz w:val="18"/>
          <w:u w:val="none"/>
          <w:vertAlign w:val="baseline"/>
        </w:rPr>
        <w:t xml:space="preserve"> (APA review of deportation orders).</w:t>
      </w:r>
    </w:p>
  </w:footnote>
  <w:footnote w:id="2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21 </w:t>
      </w:r>
      <w:r>
        <w:rPr>
          <w:rFonts w:ascii="arial" w:eastAsia="arial" w:hAnsi="arial" w:cs="arial"/>
          <w:b w:val="0"/>
          <w:i w:val="0"/>
          <w:strike w:val="0"/>
          <w:noProof w:val="0"/>
          <w:color w:val="000000"/>
          <w:position w:val="0"/>
          <w:sz w:val="18"/>
          <w:u w:val="none"/>
          <w:vertAlign w:val="baseline"/>
        </w:rPr>
        <w:t>Thomas Alexander Aleinikoff et al., Immigration and Citizenship: Process and Policy 751 (5th ed. 2003).</w:t>
      </w:r>
    </w:p>
  </w:footnote>
  <w:footnote w:id="2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34" w:history="1">
        <w:r>
          <w:rPr>
            <w:rFonts w:ascii="arial" w:eastAsia="arial" w:hAnsi="arial" w:cs="arial"/>
            <w:b w:val="0"/>
            <w:i/>
            <w:strike w:val="0"/>
            <w:noProof w:val="0"/>
            <w:color w:val="0077CC"/>
            <w:position w:val="0"/>
            <w:sz w:val="18"/>
            <w:u w:val="single"/>
            <w:shd w:val="clear" w:color="auto" w:fill="FFFFFF"/>
            <w:vertAlign w:val="baseline"/>
          </w:rPr>
          <w:t>Delgadillo v. Carmichael, 332 U.S. 388, 390–91 (1947)</w:t>
        </w:r>
      </w:hyperlink>
      <w:r>
        <w:rPr>
          <w:rFonts w:ascii="arial" w:eastAsia="arial" w:hAnsi="arial" w:cs="arial"/>
          <w:b w:val="0"/>
          <w:i w:val="0"/>
          <w:strike w:val="0"/>
          <w:noProof w:val="0"/>
          <w:color w:val="000000"/>
          <w:position w:val="0"/>
          <w:sz w:val="18"/>
          <w:u w:val="none"/>
          <w:vertAlign w:val="baseline"/>
        </w:rPr>
        <w:t xml:space="preserve"> (rejecting executive branch’s interpretation of “entry”); </w:t>
      </w:r>
      <w:hyperlink r:id="rId35" w:history="1">
        <w:r>
          <w:rPr>
            <w:rFonts w:ascii="arial" w:eastAsia="arial" w:hAnsi="arial" w:cs="arial"/>
            <w:b w:val="0"/>
            <w:i/>
            <w:strike w:val="0"/>
            <w:noProof w:val="0"/>
            <w:color w:val="0077CC"/>
            <w:position w:val="0"/>
            <w:sz w:val="18"/>
            <w:u w:val="single"/>
            <w:shd w:val="clear" w:color="auto" w:fill="FFFFFF"/>
            <w:vertAlign w:val="baseline"/>
          </w:rPr>
          <w:t>Kessler v. Strecker, 307 U.S. 22, 29 30 (1939)</w:t>
        </w:r>
      </w:hyperlink>
      <w:r>
        <w:rPr>
          <w:rFonts w:ascii="arial" w:eastAsia="arial" w:hAnsi="arial" w:cs="arial"/>
          <w:b w:val="0"/>
          <w:i w:val="0"/>
          <w:strike w:val="0"/>
          <w:noProof w:val="0"/>
          <w:color w:val="000000"/>
          <w:position w:val="0"/>
          <w:sz w:val="18"/>
          <w:u w:val="none"/>
          <w:vertAlign w:val="baseline"/>
        </w:rPr>
        <w:t xml:space="preserve"> (rejecting executive branch’s interpretation of ideological deportation provision); </w:t>
      </w:r>
      <w:hyperlink r:id="rId36" w:history="1">
        <w:r>
          <w:rPr>
            <w:rFonts w:ascii="arial" w:eastAsia="arial" w:hAnsi="arial" w:cs="arial"/>
            <w:b w:val="0"/>
            <w:i/>
            <w:strike w:val="0"/>
            <w:noProof w:val="0"/>
            <w:color w:val="0077CC"/>
            <w:position w:val="0"/>
            <w:sz w:val="18"/>
            <w:u w:val="single"/>
            <w:shd w:val="clear" w:color="auto" w:fill="FFFFFF"/>
            <w:vertAlign w:val="baseline"/>
          </w:rPr>
          <w:t>Mahler v. Eby, 264 U.S. 32, 41–43 (1924)</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based on absence of sufficient findings and lack of evidence to support warrant of deportation); </w:t>
      </w:r>
      <w:hyperlink r:id="rId37" w:history="1">
        <w:r>
          <w:rPr>
            <w:rFonts w:ascii="arial" w:eastAsia="arial" w:hAnsi="arial" w:cs="arial"/>
            <w:b w:val="0"/>
            <w:i/>
            <w:strike w:val="0"/>
            <w:noProof w:val="0"/>
            <w:color w:val="0077CC"/>
            <w:position w:val="0"/>
            <w:sz w:val="18"/>
            <w:u w:val="single"/>
            <w:shd w:val="clear" w:color="auto" w:fill="FFFFFF"/>
            <w:vertAlign w:val="baseline"/>
          </w:rPr>
          <w:t>Gegiow v. Uhl, 239 U.S. 3, 8-10 (1915)</w:t>
        </w:r>
      </w:hyperlink>
      <w:r>
        <w:rPr>
          <w:rFonts w:ascii="arial" w:eastAsia="arial" w:hAnsi="arial" w:cs="arial"/>
          <w:b w:val="0"/>
          <w:i w:val="0"/>
          <w:strike w:val="0"/>
          <w:noProof w:val="0"/>
          <w:color w:val="000000"/>
          <w:position w:val="0"/>
          <w:sz w:val="18"/>
          <w:u w:val="none"/>
          <w:vertAlign w:val="baseline"/>
        </w:rPr>
        <w:t xml:space="preserve"> (rejecting executive branch’s broad interpretation of public-charge exclusion provision); </w:t>
      </w:r>
      <w:hyperlink r:id="rId38" w:history="1">
        <w:r>
          <w:rPr>
            <w:rFonts w:ascii="arial" w:eastAsia="arial" w:hAnsi="arial" w:cs="arial"/>
            <w:b w:val="0"/>
            <w:i/>
            <w:strike w:val="0"/>
            <w:noProof w:val="0"/>
            <w:color w:val="0077CC"/>
            <w:position w:val="0"/>
            <w:sz w:val="18"/>
            <w:u w:val="single"/>
            <w:shd w:val="clear" w:color="auto" w:fill="FFFFFF"/>
            <w:vertAlign w:val="baseline"/>
          </w:rPr>
          <w:t>Zakonaite v. Wolf, 226 U.S. 272, 274 (1912)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of insufficient evidence).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w:t>
      </w:r>
      <w:hyperlink r:id="rId39" w:history="1">
        <w:r>
          <w:rPr>
            <w:rFonts w:ascii="arial" w:eastAsia="arial" w:hAnsi="arial" w:cs="arial"/>
            <w:b w:val="0"/>
            <w:i/>
            <w:strike w:val="0"/>
            <w:noProof w:val="0"/>
            <w:color w:val="0077CC"/>
            <w:position w:val="0"/>
            <w:sz w:val="18"/>
            <w:u w:val="single"/>
            <w:shd w:val="clear" w:color="auto" w:fill="FFFFFF"/>
            <w:vertAlign w:val="baseline"/>
          </w:rPr>
          <w:t>Uyemura v. Carr, 99 F.2d 729, 732 (9th Cir. 1938)</w:t>
        </w:r>
      </w:hyperlink>
      <w:r>
        <w:rPr>
          <w:rFonts w:ascii="arial" w:eastAsia="arial" w:hAnsi="arial" w:cs="arial"/>
          <w:b w:val="0"/>
          <w:i w:val="0"/>
          <w:strike w:val="0"/>
          <w:noProof w:val="0"/>
          <w:color w:val="000000"/>
          <w:position w:val="0"/>
          <w:sz w:val="18"/>
          <w:u w:val="none"/>
          <w:vertAlign w:val="baseline"/>
        </w:rPr>
        <w:t xml:space="preserve">; </w:t>
      </w:r>
      <w:hyperlink r:id="rId40" w:history="1">
        <w:r>
          <w:rPr>
            <w:rFonts w:ascii="arial" w:eastAsia="arial" w:hAnsi="arial" w:cs="arial"/>
            <w:b w:val="0"/>
            <w:i/>
            <w:strike w:val="0"/>
            <w:noProof w:val="0"/>
            <w:color w:val="0077CC"/>
            <w:position w:val="0"/>
            <w:sz w:val="18"/>
            <w:u w:val="single"/>
            <w:shd w:val="clear" w:color="auto" w:fill="FFFFFF"/>
            <w:vertAlign w:val="baseline"/>
          </w:rPr>
          <w:t>Engel v. Zurbrick, 51 F.2d 632, 633 (6th Cir. 1931)</w:t>
        </w:r>
      </w:hyperlink>
      <w:r>
        <w:rPr>
          <w:rFonts w:ascii="arial" w:eastAsia="arial" w:hAnsi="arial" w:cs="arial"/>
          <w:b w:val="0"/>
          <w:i w:val="0"/>
          <w:strike w:val="0"/>
          <w:noProof w:val="0"/>
          <w:color w:val="000000"/>
          <w:position w:val="0"/>
          <w:sz w:val="18"/>
          <w:u w:val="none"/>
          <w:vertAlign w:val="baseline"/>
        </w:rPr>
        <w:t xml:space="preserve">; United States </w:t>
      </w:r>
      <w:hyperlink r:id="rId41" w:history="1">
        <w:r>
          <w:rPr>
            <w:rFonts w:ascii="arial" w:eastAsia="arial" w:hAnsi="arial" w:cs="arial"/>
            <w:b w:val="0"/>
            <w:i/>
            <w:strike w:val="0"/>
            <w:noProof w:val="0"/>
            <w:color w:val="0077CC"/>
            <w:position w:val="0"/>
            <w:sz w:val="18"/>
            <w:u w:val="single"/>
            <w:shd w:val="clear" w:color="auto" w:fill="FFFFFF"/>
            <w:vertAlign w:val="baseline"/>
          </w:rPr>
          <w:t>ex rel</w:t>
        </w:r>
      </w:hyperlink>
      <w:hyperlink r:id="rId41" w:history="1">
        <w:r>
          <w:rPr>
            <w:rFonts w:ascii="arial" w:eastAsia="arial" w:hAnsi="arial" w:cs="arial"/>
            <w:b w:val="0"/>
            <w:i/>
            <w:strike w:val="0"/>
            <w:noProof w:val="0"/>
            <w:color w:val="0077CC"/>
            <w:position w:val="0"/>
            <w:sz w:val="18"/>
            <w:u w:val="single"/>
            <w:shd w:val="clear" w:color="auto" w:fill="FFFFFF"/>
            <w:vertAlign w:val="baseline"/>
          </w:rPr>
          <w:t>. De Sousa v. Day, 22 F.2d 472 (2d Cir. 1927)</w:t>
        </w:r>
      </w:hyperlink>
      <w:r>
        <w:rPr>
          <w:rFonts w:ascii="arial" w:eastAsia="arial" w:hAnsi="arial" w:cs="arial"/>
          <w:b w:val="0"/>
          <w:i w:val="0"/>
          <w:strike w:val="0"/>
          <w:noProof w:val="0"/>
          <w:color w:val="000000"/>
          <w:position w:val="0"/>
          <w:sz w:val="18"/>
          <w:u w:val="none"/>
          <w:vertAlign w:val="baseline"/>
        </w:rPr>
        <w:t xml:space="preserve">; </w:t>
      </w:r>
      <w:hyperlink r:id="rId42" w:history="1">
        <w:r>
          <w:rPr>
            <w:rFonts w:ascii="arial" w:eastAsia="arial" w:hAnsi="arial" w:cs="arial"/>
            <w:b w:val="0"/>
            <w:i/>
            <w:strike w:val="0"/>
            <w:noProof w:val="0"/>
            <w:color w:val="0077CC"/>
            <w:position w:val="0"/>
            <w:sz w:val="18"/>
            <w:u w:val="single"/>
            <w:shd w:val="clear" w:color="auto" w:fill="FFFFFF"/>
            <w:vertAlign w:val="baseline"/>
          </w:rPr>
          <w:t>Nocchi v. Johnson, 6 F.2d 1, 2 (1st Cir. 1925)</w:t>
        </w:r>
      </w:hyperlink>
      <w:r>
        <w:rPr>
          <w:rFonts w:ascii="arial" w:eastAsia="arial" w:hAnsi="arial" w:cs="arial"/>
          <w:b w:val="0"/>
          <w:i w:val="0"/>
          <w:strike w:val="0"/>
          <w:noProof w:val="0"/>
          <w:color w:val="000000"/>
          <w:position w:val="0"/>
          <w:sz w:val="18"/>
          <w:u w:val="none"/>
          <w:vertAlign w:val="baseline"/>
        </w:rPr>
        <w:t xml:space="preserve">; </w:t>
      </w:r>
      <w:hyperlink r:id="rId43" w:history="1">
        <w:r>
          <w:rPr>
            <w:rFonts w:ascii="arial" w:eastAsia="arial" w:hAnsi="arial" w:cs="arial"/>
            <w:b w:val="0"/>
            <w:i/>
            <w:strike w:val="0"/>
            <w:noProof w:val="0"/>
            <w:color w:val="0077CC"/>
            <w:position w:val="0"/>
            <w:sz w:val="18"/>
            <w:u w:val="single"/>
            <w:shd w:val="clear" w:color="auto" w:fill="FFFFFF"/>
            <w:vertAlign w:val="baseline"/>
          </w:rPr>
          <w:t>Jouras v. Allen, 222 F. 756, 758 759 (8th Cir. 1915)</w:t>
        </w:r>
      </w:hyperlink>
      <w:r>
        <w:rPr>
          <w:rFonts w:ascii="arial" w:eastAsia="arial" w:hAnsi="arial" w:cs="arial"/>
          <w:b w:val="0"/>
          <w:i w:val="0"/>
          <w:strike w:val="0"/>
          <w:noProof w:val="0"/>
          <w:color w:val="000000"/>
          <w:position w:val="0"/>
          <w:sz w:val="18"/>
          <w:u w:val="none"/>
          <w:vertAlign w:val="baseline"/>
        </w:rPr>
        <w:t>.</w:t>
      </w:r>
    </w:p>
  </w:footnote>
  <w:footnote w:id="2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United States </w:t>
      </w:r>
      <w:hyperlink r:id="rId44" w:history="1">
        <w:r>
          <w:rPr>
            <w:rFonts w:ascii="arial" w:eastAsia="arial" w:hAnsi="arial" w:cs="arial"/>
            <w:b w:val="0"/>
            <w:i/>
            <w:strike w:val="0"/>
            <w:noProof w:val="0"/>
            <w:color w:val="0077CC"/>
            <w:position w:val="0"/>
            <w:sz w:val="18"/>
            <w:u w:val="single"/>
            <w:shd w:val="clear" w:color="auto" w:fill="FFFFFF"/>
            <w:vertAlign w:val="baseline"/>
          </w:rPr>
          <w:t>ex rel</w:t>
        </w:r>
      </w:hyperlink>
      <w:hyperlink r:id="rId44" w:history="1">
        <w:r>
          <w:rPr>
            <w:rFonts w:ascii="arial" w:eastAsia="arial" w:hAnsi="arial" w:cs="arial"/>
            <w:b w:val="0"/>
            <w:i/>
            <w:strike w:val="0"/>
            <w:noProof w:val="0"/>
            <w:color w:val="0077CC"/>
            <w:position w:val="0"/>
            <w:sz w:val="18"/>
            <w:u w:val="single"/>
            <w:shd w:val="clear" w:color="auto" w:fill="FFFFFF"/>
            <w:vertAlign w:val="baseline"/>
          </w:rPr>
          <w:t>. Accardi v. Shaughnessy, 347 U.S. 260, 268 (1954)</w:t>
        </w:r>
      </w:hyperlink>
      <w:r>
        <w:rPr>
          <w:rFonts w:ascii="arial" w:eastAsia="arial" w:hAnsi="arial" w:cs="arial"/>
          <w:b w:val="0"/>
          <w:i w:val="0"/>
          <w:strike w:val="0"/>
          <w:noProof w:val="0"/>
          <w:color w:val="000000"/>
          <w:position w:val="0"/>
          <w:sz w:val="18"/>
          <w:u w:val="none"/>
          <w:vertAlign w:val="baseline"/>
        </w:rPr>
        <w:t xml:space="preserve"> (reversed a denial of suspension of deportation, even though the dissenting justices objected that “a refusal to exercise that discretion [to suspend deportation] is not reviewable in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w:t>
      </w:r>
      <w:hyperlink r:id="rId45" w:history="1">
        <w:r>
          <w:rPr>
            <w:rFonts w:ascii="arial" w:eastAsia="arial" w:hAnsi="arial" w:cs="arial"/>
            <w:b w:val="0"/>
            <w:i/>
            <w:strike w:val="0"/>
            <w:noProof w:val="0"/>
            <w:color w:val="0077CC"/>
            <w:position w:val="0"/>
            <w:sz w:val="18"/>
            <w:u w:val="single"/>
            <w:shd w:val="clear" w:color="auto" w:fill="FFFFFF"/>
            <w:vertAlign w:val="baseline"/>
          </w:rPr>
          <w:t>Heikkila v. Barber, 345 U.S. 229 (1953)</w:t>
        </w:r>
      </w:hyperlink>
      <w:r>
        <w:rPr>
          <w:rFonts w:ascii="arial" w:eastAsia="arial" w:hAnsi="arial" w:cs="arial"/>
          <w:b w:val="0"/>
          <w:i w:val="0"/>
          <w:strike w:val="0"/>
          <w:noProof w:val="0"/>
          <w:color w:val="000000"/>
          <w:position w:val="0"/>
          <w:sz w:val="18"/>
          <w:u w:val="none"/>
          <w:vertAlign w:val="baseline"/>
        </w:rPr>
        <w:t xml:space="preserve"> (noncitizens facing deportation or exclusion constitutionally entitled to judicial review of that order in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w:t>
      </w:r>
    </w:p>
  </w:footnote>
  <w:footnote w:id="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24 </w:t>
      </w:r>
      <w:r>
        <w:rPr>
          <w:rFonts w:ascii="arial" w:eastAsia="arial" w:hAnsi="arial" w:cs="arial"/>
          <w:b w:val="0"/>
          <w:i w:val="0"/>
          <w:strike w:val="0"/>
          <w:noProof w:val="0"/>
          <w:color w:val="000000"/>
          <w:position w:val="0"/>
          <w:sz w:val="18"/>
          <w:u w:val="none"/>
          <w:vertAlign w:val="baseline"/>
        </w:rPr>
        <w:t xml:space="preserve">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106(a)(10)</w:t>
        </w:r>
      </w:hyperlink>
      <w:r>
        <w:rPr>
          <w:rFonts w:ascii="arial" w:eastAsia="arial" w:hAnsi="arial" w:cs="arial"/>
          <w:b w:val="0"/>
          <w:i w:val="0"/>
          <w:strike w:val="0"/>
          <w:noProof w:val="0"/>
          <w:color w:val="000000"/>
          <w:position w:val="0"/>
          <w:sz w:val="18"/>
          <w:u w:val="none"/>
          <w:vertAlign w:val="baseline"/>
        </w:rPr>
        <w:t xml:space="preserve">, </w:t>
      </w:r>
      <w:hyperlink r:id="rId10" w:history="1">
        <w:r>
          <w:rPr>
            <w:rFonts w:ascii="arial" w:eastAsia="arial" w:hAnsi="arial" w:cs="arial"/>
            <w:b w:val="0"/>
            <w:i/>
            <w:strike w:val="0"/>
            <w:noProof w:val="0"/>
            <w:color w:val="0077CC"/>
            <w:position w:val="0"/>
            <w:sz w:val="18"/>
            <w:u w:val="single"/>
            <w:shd w:val="clear" w:color="auto" w:fill="FFFFFF"/>
            <w:vertAlign w:val="baseline"/>
          </w:rPr>
          <w:t>8 U.S.C. § 1105a(a)(10) (1995)</w:t>
        </w:r>
      </w:hyperlink>
      <w:r>
        <w:rPr>
          <w:rFonts w:ascii="arial" w:eastAsia="arial" w:hAnsi="arial" w:cs="arial"/>
          <w:b w:val="0"/>
          <w:i w:val="0"/>
          <w:strike w:val="0"/>
          <w:noProof w:val="0"/>
          <w:color w:val="000000"/>
          <w:position w:val="0"/>
          <w:sz w:val="18"/>
          <w:u w:val="none"/>
          <w:vertAlign w:val="baseline"/>
        </w:rPr>
        <w:t xml:space="preserve">. This provision originally was numbered § 106(a)(9), but was renumbered to (a)(10). </w:t>
      </w:r>
      <w:hyperlink r:id="rId15" w:history="1">
        <w:r>
          <w:rPr>
            <w:rFonts w:ascii="arial" w:eastAsia="arial" w:hAnsi="arial" w:cs="arial"/>
            <w:b w:val="0"/>
            <w:i/>
            <w:strike w:val="0"/>
            <w:noProof w:val="0"/>
            <w:color w:val="0077CC"/>
            <w:position w:val="0"/>
            <w:sz w:val="18"/>
            <w:u w:val="single"/>
            <w:shd w:val="clear" w:color="auto" w:fill="FFFFFF"/>
            <w:vertAlign w:val="baseline"/>
          </w:rPr>
          <w:t>LaGuerre v. Reno, 164 F.3d 1035, 1038 (7th Cir. 1998)</w:t>
        </w:r>
      </w:hyperlink>
      <w:r>
        <w:rPr>
          <w:rFonts w:ascii="arial" w:eastAsia="arial" w:hAnsi="arial" w:cs="arial"/>
          <w:b w:val="0"/>
          <w:i w:val="0"/>
          <w:strike w:val="0"/>
          <w:noProof w:val="0"/>
          <w:color w:val="000000"/>
          <w:position w:val="0"/>
          <w:sz w:val="18"/>
          <w:u w:val="none"/>
          <w:vertAlign w:val="baseline"/>
        </w:rPr>
        <w:t xml:space="preserve">. In addition,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the general federal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statute, also was applied in some immigration cases.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46" w:history="1">
        <w:r>
          <w:rPr>
            <w:rFonts w:ascii="arial" w:eastAsia="arial" w:hAnsi="arial" w:cs="arial"/>
            <w:b w:val="0"/>
            <w:i/>
            <w:strike w:val="0"/>
            <w:noProof w:val="0"/>
            <w:color w:val="0077CC"/>
            <w:position w:val="0"/>
            <w:sz w:val="18"/>
            <w:u w:val="single"/>
            <w:shd w:val="clear" w:color="auto" w:fill="FFFFFF"/>
            <w:vertAlign w:val="baseline"/>
          </w:rPr>
          <w:t>Pierre v. Rivkind, 825 F.2d 1501, 1503 (11th Cir. 1987)</w:t>
        </w:r>
      </w:hyperlink>
      <w:r>
        <w:rPr>
          <w:rFonts w:ascii="arial" w:eastAsia="arial" w:hAnsi="arial" w:cs="arial"/>
          <w:b w:val="0"/>
          <w:i w:val="0"/>
          <w:strike w:val="0"/>
          <w:noProof w:val="0"/>
          <w:color w:val="000000"/>
          <w:position w:val="0"/>
          <w:sz w:val="18"/>
          <w:u w:val="none"/>
          <w:vertAlign w:val="baseline"/>
        </w:rPr>
        <w:t>.</w:t>
      </w:r>
    </w:p>
  </w:footnote>
  <w:footnote w:id="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25 </w:t>
      </w:r>
      <w:r>
        <w:rPr>
          <w:rFonts w:ascii="arial" w:eastAsia="arial" w:hAnsi="arial" w:cs="arial"/>
          <w:b w:val="0"/>
          <w:i w:val="0"/>
          <w:strike w:val="0"/>
          <w:noProof w:val="0"/>
          <w:color w:val="000000"/>
          <w:position w:val="0"/>
          <w:sz w:val="18"/>
          <w:u w:val="none"/>
          <w:vertAlign w:val="baseline"/>
        </w:rPr>
        <w:t xml:space="preserve">The legislative history of the 1961 amendments provides, “Nothing contained in the bill is, or can be, designed to prevent an alien from obtaining [judicial] review [of a deportation order] by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107 Cong. Rec. 12,176 (July 10, 1961) (remarks of Rep. Walter, sponsor of the legislation);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at 12,177 (remarks of Rep. Walter) (then-new </w:t>
      </w:r>
      <w:hyperlink r:id="rId10" w:history="1">
        <w:r>
          <w:rPr>
            <w:rFonts w:ascii="arial" w:eastAsia="arial" w:hAnsi="arial" w:cs="arial"/>
            <w:b w:val="0"/>
            <w:i/>
            <w:strike w:val="0"/>
            <w:noProof w:val="0"/>
            <w:color w:val="0077CC"/>
            <w:position w:val="0"/>
            <w:sz w:val="18"/>
            <w:u w:val="single"/>
            <w:shd w:val="clear" w:color="auto" w:fill="FFFFFF"/>
            <w:vertAlign w:val="baseline"/>
          </w:rPr>
          <w:t>INA § 106</w:t>
        </w:r>
      </w:hyperlink>
      <w:r>
        <w:rPr>
          <w:rFonts w:ascii="arial" w:eastAsia="arial" w:hAnsi="arial" w:cs="arial"/>
          <w:b w:val="0"/>
          <w:i w:val="0"/>
          <w:strike w:val="0"/>
          <w:noProof w:val="0"/>
          <w:color w:val="000000"/>
          <w:position w:val="0"/>
          <w:sz w:val="18"/>
          <w:u w:val="none"/>
          <w:vertAlign w:val="baseline"/>
        </w:rPr>
        <w:t xml:space="preserve">, </w:t>
      </w:r>
      <w:hyperlink r:id="rId10" w:history="1">
        <w:r>
          <w:rPr>
            <w:rFonts w:ascii="arial" w:eastAsia="arial" w:hAnsi="arial" w:cs="arial"/>
            <w:b w:val="0"/>
            <w:i/>
            <w:strike w:val="0"/>
            <w:noProof w:val="0"/>
            <w:color w:val="0077CC"/>
            <w:position w:val="0"/>
            <w:sz w:val="18"/>
            <w:u w:val="single"/>
            <w:shd w:val="clear" w:color="auto" w:fill="FFFFFF"/>
            <w:vertAlign w:val="baseline"/>
          </w:rPr>
          <w:t>8 U.S.C. § 1105a</w:t>
        </w:r>
      </w:hyperlink>
      <w:r>
        <w:rPr>
          <w:rFonts w:ascii="arial" w:eastAsia="arial" w:hAnsi="arial" w:cs="arial"/>
          <w:b w:val="0"/>
          <w:i w:val="0"/>
          <w:strike w:val="0"/>
          <w:noProof w:val="0"/>
          <w:color w:val="000000"/>
          <w:position w:val="0"/>
          <w:sz w:val="18"/>
          <w:u w:val="none"/>
          <w:vertAlign w:val="baseline"/>
        </w:rPr>
        <w:t xml:space="preserve">, preserved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for excludable noncitizens because “[w]e were very much concerned over the possibility of writing an unconstitutional statute by depriving even an alien of the right to a writ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H.R. Rep. No. 87-1086 (1961), </w:t>
      </w:r>
      <w:r>
        <w:rPr>
          <w:rFonts w:ascii="arial" w:eastAsia="arial" w:hAnsi="arial" w:cs="arial"/>
          <w:b w:val="0"/>
          <w:i/>
          <w:strike w:val="0"/>
          <w:noProof w:val="0"/>
          <w:color w:val="000000"/>
          <w:position w:val="0"/>
          <w:sz w:val="18"/>
          <w:u w:val="none"/>
          <w:vertAlign w:val="baseline"/>
        </w:rPr>
        <w:t>reprinted at</w:t>
      </w:r>
      <w:r>
        <w:rPr>
          <w:rFonts w:ascii="arial" w:eastAsia="arial" w:hAnsi="arial" w:cs="arial"/>
          <w:b w:val="0"/>
          <w:i w:val="0"/>
          <w:strike w:val="0"/>
          <w:noProof w:val="0"/>
          <w:color w:val="000000"/>
          <w:position w:val="0"/>
          <w:sz w:val="18"/>
          <w:u w:val="none"/>
          <w:vertAlign w:val="baseline"/>
        </w:rPr>
        <w:t xml:space="preserve"> 1961 U.S.C.C.A.N. 2950, 2973 (discussing the interaction of </w:t>
      </w:r>
      <w:hyperlink r:id="rId10" w:history="1">
        <w:r>
          <w:rPr>
            <w:rFonts w:ascii="arial" w:eastAsia="arial" w:hAnsi="arial" w:cs="arial"/>
            <w:b w:val="0"/>
            <w:i/>
            <w:strike w:val="0"/>
            <w:noProof w:val="0"/>
            <w:color w:val="0077CC"/>
            <w:position w:val="0"/>
            <w:sz w:val="18"/>
            <w:u w:val="single"/>
            <w:shd w:val="clear" w:color="auto" w:fill="FFFFFF"/>
            <w:vertAlign w:val="baseline"/>
          </w:rPr>
          <w:t>INA § 106</w:t>
        </w:r>
      </w:hyperlink>
      <w:r>
        <w:rPr>
          <w:rFonts w:ascii="arial" w:eastAsia="arial" w:hAnsi="arial" w:cs="arial"/>
          <w:b w:val="0"/>
          <w:i w:val="0"/>
          <w:strike w:val="0"/>
          <w:noProof w:val="0"/>
          <w:color w:val="000000"/>
          <w:position w:val="0"/>
          <w:sz w:val="18"/>
          <w:u w:val="none"/>
          <w:vertAlign w:val="baseline"/>
        </w:rPr>
        <w:t xml:space="preserve"> and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Act”); 107 Cong. Rec. 12,179 (July 10, 1961) (remarks of Rep. Libonati) (describing a noncitizen’s petition for writ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as constitutional writ). The relation between petitions for review and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of final orders divided the circuits.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47" w:history="1">
        <w:r>
          <w:rPr>
            <w:rFonts w:ascii="arial" w:eastAsia="arial" w:hAnsi="arial" w:cs="arial"/>
            <w:b w:val="0"/>
            <w:i/>
            <w:strike w:val="0"/>
            <w:noProof w:val="0"/>
            <w:color w:val="0077CC"/>
            <w:position w:val="0"/>
            <w:sz w:val="18"/>
            <w:u w:val="single"/>
            <w:shd w:val="clear" w:color="auto" w:fill="FFFFFF"/>
            <w:vertAlign w:val="baseline"/>
          </w:rPr>
          <w:t>Galaviz-Medina v. Wooten, 27 F.3d 487, 493 (10th Cir. 1994)</w:t>
        </w:r>
      </w:hyperlink>
      <w:r>
        <w:rPr>
          <w:rFonts w:ascii="arial" w:eastAsia="arial" w:hAnsi="arial" w:cs="arial"/>
          <w:b w:val="0"/>
          <w:i w:val="0"/>
          <w:strike w:val="0"/>
          <w:noProof w:val="0"/>
          <w:color w:val="000000"/>
          <w:position w:val="0"/>
          <w:sz w:val="18"/>
          <w:u w:val="none"/>
          <w:vertAlign w:val="baseline"/>
        </w:rPr>
        <w:t xml:space="preserve">; </w:t>
      </w:r>
      <w:hyperlink r:id="rId48" w:history="1">
        <w:r>
          <w:rPr>
            <w:rFonts w:ascii="arial" w:eastAsia="arial" w:hAnsi="arial" w:cs="arial"/>
            <w:b w:val="0"/>
            <w:i/>
            <w:strike w:val="0"/>
            <w:noProof w:val="0"/>
            <w:color w:val="0077CC"/>
            <w:position w:val="0"/>
            <w:sz w:val="18"/>
            <w:u w:val="single"/>
            <w:shd w:val="clear" w:color="auto" w:fill="FFFFFF"/>
            <w:vertAlign w:val="baseline"/>
          </w:rPr>
          <w:t>Williams v. INS, 795 F.2d 738, 743–45 (9th Cir. 1986)</w:t>
        </w:r>
      </w:hyperlink>
      <w:r>
        <w:rPr>
          <w:rFonts w:ascii="arial" w:eastAsia="arial" w:hAnsi="arial" w:cs="arial"/>
          <w:b w:val="0"/>
          <w:i w:val="0"/>
          <w:strike w:val="0"/>
          <w:noProof w:val="0"/>
          <w:color w:val="000000"/>
          <w:position w:val="0"/>
          <w:sz w:val="18"/>
          <w:u w:val="none"/>
          <w:vertAlign w:val="baseline"/>
        </w:rPr>
        <w:t xml:space="preserve">; United States </w:t>
      </w:r>
      <w:hyperlink r:id="rId49" w:history="1">
        <w:r>
          <w:rPr>
            <w:rFonts w:ascii="arial" w:eastAsia="arial" w:hAnsi="arial" w:cs="arial"/>
            <w:b w:val="0"/>
            <w:i/>
            <w:strike w:val="0"/>
            <w:noProof w:val="0"/>
            <w:color w:val="0077CC"/>
            <w:position w:val="0"/>
            <w:sz w:val="18"/>
            <w:u w:val="single"/>
            <w:shd w:val="clear" w:color="auto" w:fill="FFFFFF"/>
            <w:vertAlign w:val="baseline"/>
          </w:rPr>
          <w:t>ex rel</w:t>
        </w:r>
      </w:hyperlink>
      <w:hyperlink r:id="rId49" w:history="1">
        <w:r>
          <w:rPr>
            <w:rFonts w:ascii="arial" w:eastAsia="arial" w:hAnsi="arial" w:cs="arial"/>
            <w:b w:val="0"/>
            <w:i/>
            <w:strike w:val="0"/>
            <w:noProof w:val="0"/>
            <w:color w:val="0077CC"/>
            <w:position w:val="0"/>
            <w:sz w:val="18"/>
            <w:u w:val="single"/>
            <w:shd w:val="clear" w:color="auto" w:fill="FFFFFF"/>
            <w:vertAlign w:val="baseline"/>
          </w:rPr>
          <w:t>. Marcello v. District Director, 634 F.2d 964 (5th Cir. 1981)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50" w:history="1">
        <w:r>
          <w:rPr>
            <w:rFonts w:ascii="arial" w:eastAsia="arial" w:hAnsi="arial" w:cs="arial"/>
            <w:b w:val="0"/>
            <w:i/>
            <w:strike w:val="0"/>
            <w:noProof w:val="0"/>
            <w:color w:val="0077CC"/>
            <w:position w:val="0"/>
            <w:sz w:val="18"/>
            <w:u w:val="single"/>
            <w:shd w:val="clear" w:color="auto" w:fill="FFFFFF"/>
            <w:vertAlign w:val="baseline"/>
          </w:rPr>
          <w:t>Mondragon v. Ilchert, 653 F.2d 1254 (9th Cir. 1980)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of final orders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and then-</w:t>
      </w:r>
      <w:hyperlink r:id="rId10" w:history="1">
        <w:r>
          <w:rPr>
            <w:rFonts w:ascii="arial" w:eastAsia="arial" w:hAnsi="arial" w:cs="arial"/>
            <w:b w:val="0"/>
            <w:i/>
            <w:strike w:val="0"/>
            <w:noProof w:val="0"/>
            <w:color w:val="0077CC"/>
            <w:position w:val="0"/>
            <w:sz w:val="18"/>
            <w:u w:val="single"/>
            <w:shd w:val="clear" w:color="auto" w:fill="FFFFFF"/>
            <w:vertAlign w:val="baseline"/>
          </w:rPr>
          <w:t>INA § 106(a)(10)</w:t>
        </w:r>
      </w:hyperlink>
      <w:r>
        <w:rPr>
          <w:rFonts w:ascii="arial" w:eastAsia="arial" w:hAnsi="arial" w:cs="arial"/>
          <w:b w:val="0"/>
          <w:i w:val="0"/>
          <w:strike w:val="0"/>
          <w:noProof w:val="0"/>
          <w:color w:val="000000"/>
          <w:position w:val="0"/>
          <w:sz w:val="18"/>
          <w:u w:val="none"/>
          <w:vertAlign w:val="baseline"/>
        </w:rPr>
        <w:t xml:space="preserve">, </w:t>
      </w:r>
      <w:hyperlink r:id="rId51" w:history="1">
        <w:r>
          <w:rPr>
            <w:rFonts w:ascii="arial" w:eastAsia="arial" w:hAnsi="arial" w:cs="arial"/>
            <w:b w:val="0"/>
            <w:i/>
            <w:strike w:val="0"/>
            <w:noProof w:val="0"/>
            <w:color w:val="0077CC"/>
            <w:position w:val="0"/>
            <w:sz w:val="18"/>
            <w:u w:val="single"/>
            <w:shd w:val="clear" w:color="auto" w:fill="FFFFFF"/>
            <w:vertAlign w:val="baseline"/>
          </w:rPr>
          <w:t>8 U.S.C. § 1105(a)(10)</w:t>
        </w:r>
      </w:hyperlink>
      <w:r>
        <w:rPr>
          <w:rFonts w:ascii="arial" w:eastAsia="arial" w:hAnsi="arial" w:cs="arial"/>
          <w:b w:val="0"/>
          <w:i w:val="0"/>
          <w:strike w:val="0"/>
          <w:noProof w:val="0"/>
          <w:color w:val="000000"/>
          <w:position w:val="0"/>
          <w:sz w:val="18"/>
          <w:u w:val="none"/>
          <w:vertAlign w:val="baseline"/>
        </w:rPr>
        <w:t>).</w:t>
      </w:r>
    </w:p>
  </w:footnote>
  <w:footnote w:id="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26 </w:t>
      </w:r>
      <w:hyperlink r:id="rId52" w:history="1">
        <w:r>
          <w:rPr>
            <w:rFonts w:ascii="arial" w:eastAsia="arial" w:hAnsi="arial" w:cs="arial"/>
            <w:b w:val="0"/>
            <w:i/>
            <w:strike w:val="0"/>
            <w:noProof w:val="0"/>
            <w:color w:val="0077CC"/>
            <w:position w:val="0"/>
            <w:sz w:val="18"/>
            <w:u w:val="single"/>
            <w:shd w:val="clear" w:color="auto" w:fill="FFFFFF"/>
            <w:vertAlign w:val="baseline"/>
          </w:rPr>
          <w:t>Cheng Fan Kwok v. INS, 392 U.S. 206 (1968)</w:t>
        </w:r>
      </w:hyperlink>
      <w:r>
        <w:rPr>
          <w:rFonts w:ascii="arial" w:eastAsia="arial" w:hAnsi="arial" w:cs="arial"/>
          <w:b w:val="0"/>
          <w:i w:val="0"/>
          <w:strike w:val="0"/>
          <w:noProof w:val="0"/>
          <w:color w:val="000000"/>
          <w:position w:val="0"/>
          <w:sz w:val="18"/>
          <w:u w:val="none"/>
          <w:vertAlign w:val="baseline"/>
        </w:rPr>
        <w:t xml:space="preserve"> (rejecting all-encompassing scope for § 106(a) court of appeals jurisdiction and holding that the district court had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to review a denial of a stay of deportation); </w:t>
      </w:r>
      <w:hyperlink r:id="rId53" w:history="1">
        <w:r>
          <w:rPr>
            <w:rFonts w:ascii="arial" w:eastAsia="arial" w:hAnsi="arial" w:cs="arial"/>
            <w:b w:val="0"/>
            <w:i/>
            <w:strike w:val="0"/>
            <w:noProof w:val="0"/>
            <w:color w:val="0077CC"/>
            <w:position w:val="0"/>
            <w:sz w:val="18"/>
            <w:u w:val="single"/>
            <w:shd w:val="clear" w:color="auto" w:fill="FFFFFF"/>
            <w:vertAlign w:val="baseline"/>
          </w:rPr>
          <w:t>Giova v. Rosenberg, 379 U.S. 18 (1964)</w:t>
        </w:r>
      </w:hyperlink>
      <w:r>
        <w:rPr>
          <w:rFonts w:ascii="arial" w:eastAsia="arial" w:hAnsi="arial" w:cs="arial"/>
          <w:b w:val="0"/>
          <w:i w:val="0"/>
          <w:strike w:val="0"/>
          <w:noProof w:val="0"/>
          <w:color w:val="000000"/>
          <w:position w:val="0"/>
          <w:sz w:val="18"/>
          <w:u w:val="none"/>
          <w:vertAlign w:val="baseline"/>
        </w:rPr>
        <w:t xml:space="preserve"> (per curiam) (expanding scope of court of appeals exclusive jurisdiction and reversing circuit court’s holding that denial of a motion to reopen was outside of the scope of </w:t>
      </w:r>
      <w:hyperlink r:id="rId10" w:history="1">
        <w:r>
          <w:rPr>
            <w:rFonts w:ascii="arial" w:eastAsia="arial" w:hAnsi="arial" w:cs="arial"/>
            <w:b w:val="0"/>
            <w:i/>
            <w:strike w:val="0"/>
            <w:noProof w:val="0"/>
            <w:color w:val="0077CC"/>
            <w:position w:val="0"/>
            <w:sz w:val="18"/>
            <w:u w:val="single"/>
            <w:shd w:val="clear" w:color="auto" w:fill="FFFFFF"/>
            <w:vertAlign w:val="baseline"/>
          </w:rPr>
          <w:t>INA § 106(a)</w:t>
        </w:r>
      </w:hyperlink>
      <w:r>
        <w:rPr>
          <w:rFonts w:ascii="arial" w:eastAsia="arial" w:hAnsi="arial" w:cs="arial"/>
          <w:b w:val="0"/>
          <w:i w:val="0"/>
          <w:strike w:val="0"/>
          <w:noProof w:val="0"/>
          <w:color w:val="000000"/>
          <w:position w:val="0"/>
          <w:sz w:val="18"/>
          <w:u w:val="none"/>
          <w:vertAlign w:val="baseline"/>
        </w:rPr>
        <w:t xml:space="preserve">); </w:t>
      </w:r>
      <w:hyperlink r:id="rId54" w:history="1">
        <w:r>
          <w:rPr>
            <w:rFonts w:ascii="arial" w:eastAsia="arial" w:hAnsi="arial" w:cs="arial"/>
            <w:b w:val="0"/>
            <w:i/>
            <w:strike w:val="0"/>
            <w:noProof w:val="0"/>
            <w:color w:val="0077CC"/>
            <w:position w:val="0"/>
            <w:sz w:val="18"/>
            <w:u w:val="single"/>
            <w:shd w:val="clear" w:color="auto" w:fill="FFFFFF"/>
            <w:vertAlign w:val="baseline"/>
          </w:rPr>
          <w:t>Foti v. INS, 375 U.S. 217, 221 (1963)</w:t>
        </w:r>
      </w:hyperlink>
      <w:r>
        <w:rPr>
          <w:rFonts w:ascii="arial" w:eastAsia="arial" w:hAnsi="arial" w:cs="arial"/>
          <w:b w:val="0"/>
          <w:i w:val="0"/>
          <w:strike w:val="0"/>
          <w:noProof w:val="0"/>
          <w:color w:val="000000"/>
          <w:position w:val="0"/>
          <w:sz w:val="18"/>
          <w:u w:val="none"/>
          <w:vertAlign w:val="baseline"/>
        </w:rPr>
        <w:t xml:space="preserve"> (holding that court of appeals review is not limited to actual adjudication of deportability, and applies to denial of discretionary relief rendered during a deportation proceeding, specifically suspension of deportation).</w:t>
      </w:r>
    </w:p>
  </w:footnote>
  <w:footnote w:id="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27 </w:t>
      </w:r>
      <w:hyperlink r:id="rId55" w:history="1">
        <w:r>
          <w:rPr>
            <w:rFonts w:ascii="arial" w:eastAsia="arial" w:hAnsi="arial" w:cs="arial"/>
            <w:b w:val="0"/>
            <w:i/>
            <w:strike w:val="0"/>
            <w:noProof w:val="0"/>
            <w:color w:val="0077CC"/>
            <w:position w:val="0"/>
            <w:sz w:val="18"/>
            <w:u w:val="single"/>
            <w:shd w:val="clear" w:color="auto" w:fill="FFFFFF"/>
            <w:vertAlign w:val="baseline"/>
          </w:rPr>
          <w:t>507 U.S. 292 (1993)</w:t>
        </w:r>
      </w:hyperlink>
      <w:r>
        <w:rPr>
          <w:rFonts w:ascii="arial" w:eastAsia="arial" w:hAnsi="arial" w:cs="arial"/>
          <w:b w:val="0"/>
          <w:i w:val="0"/>
          <w:strike w:val="0"/>
          <w:noProof w:val="0"/>
          <w:color w:val="000000"/>
          <w:position w:val="0"/>
          <w:sz w:val="18"/>
          <w:u w:val="none"/>
          <w:vertAlign w:val="baseline"/>
        </w:rPr>
        <w:t>.</w:t>
      </w:r>
    </w:p>
  </w:footnote>
  <w:footnote w:id="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28 </w:t>
      </w:r>
      <w:hyperlink r:id="rId56" w:history="1">
        <w:r>
          <w:rPr>
            <w:rFonts w:ascii="arial" w:eastAsia="arial" w:hAnsi="arial" w:cs="arial"/>
            <w:b w:val="0"/>
            <w:i/>
            <w:strike w:val="0"/>
            <w:noProof w:val="0"/>
            <w:color w:val="0077CC"/>
            <w:position w:val="0"/>
            <w:sz w:val="18"/>
            <w:u w:val="single"/>
            <w:shd w:val="clear" w:color="auto" w:fill="FFFFFF"/>
            <w:vertAlign w:val="baseline"/>
          </w:rPr>
          <w:t>Flores v. Meese, 942 F.2d 1352 (9th Cir. 1991)</w:t>
        </w:r>
      </w:hyperlink>
      <w:r>
        <w:rPr>
          <w:rFonts w:ascii="arial" w:eastAsia="arial" w:hAnsi="arial" w:cs="arial"/>
          <w:b w:val="0"/>
          <w:i w:val="0"/>
          <w:strike w:val="0"/>
          <w:noProof w:val="0"/>
          <w:color w:val="000000"/>
          <w:position w:val="0"/>
          <w:sz w:val="18"/>
          <w:u w:val="none"/>
          <w:vertAlign w:val="baseline"/>
        </w:rPr>
        <w:t>.</w:t>
      </w:r>
    </w:p>
  </w:footnote>
  <w:footnote w:id="2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29 </w:t>
      </w:r>
      <w:hyperlink r:id="rId57" w:history="1">
        <w:r>
          <w:rPr>
            <w:rFonts w:ascii="arial" w:eastAsia="arial" w:hAnsi="arial" w:cs="arial"/>
            <w:b w:val="0"/>
            <w:i/>
            <w:strike w:val="0"/>
            <w:noProof w:val="0"/>
            <w:color w:val="0077CC"/>
            <w:position w:val="0"/>
            <w:sz w:val="18"/>
            <w:u w:val="single"/>
            <w:shd w:val="clear" w:color="auto" w:fill="FFFFFF"/>
            <w:vertAlign w:val="baseline"/>
          </w:rPr>
          <w:t>Chin Yow v. United States, 208 U.S. 8 (1908)</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Jones v. Cunningham, 371 U.S. 236 (1963)</w:t>
        </w:r>
      </w:hyperlink>
      <w:r>
        <w:rPr>
          <w:rFonts w:ascii="arial" w:eastAsia="arial" w:hAnsi="arial" w:cs="arial"/>
          <w:b w:val="0"/>
          <w:i w:val="0"/>
          <w:strike w:val="0"/>
          <w:noProof w:val="0"/>
          <w:color w:val="000000"/>
          <w:position w:val="0"/>
          <w:sz w:val="18"/>
          <w:u w:val="none"/>
          <w:vertAlign w:val="baseline"/>
        </w:rPr>
        <w:t xml:space="preserve"> (custody includes a noncitizen being denied entry into the United States, although the noncitizen is free to go anywhere else in the world); </w:t>
      </w:r>
      <w:hyperlink r:id="rId59" w:history="1">
        <w:r>
          <w:rPr>
            <w:rFonts w:ascii="arial" w:eastAsia="arial" w:hAnsi="arial" w:cs="arial"/>
            <w:b w:val="0"/>
            <w:i/>
            <w:strike w:val="0"/>
            <w:noProof w:val="0"/>
            <w:color w:val="0077CC"/>
            <w:position w:val="0"/>
            <w:sz w:val="18"/>
            <w:u w:val="single"/>
            <w:shd w:val="clear" w:color="auto" w:fill="FFFFFF"/>
            <w:vertAlign w:val="baseline"/>
          </w:rPr>
          <w:t>Subias v. Meese, 835 F.2d 1288, 1289 (9th Cir. 1987)</w:t>
        </w:r>
      </w:hyperlink>
      <w:r>
        <w:rPr>
          <w:rFonts w:ascii="arial" w:eastAsia="arial" w:hAnsi="arial" w:cs="arial"/>
          <w:b w:val="0"/>
          <w:i w:val="0"/>
          <w:strike w:val="0"/>
          <w:noProof w:val="0"/>
          <w:color w:val="000000"/>
          <w:position w:val="0"/>
          <w:sz w:val="18"/>
          <w:u w:val="none"/>
          <w:vertAlign w:val="baseline"/>
        </w:rPr>
        <w:t xml:space="preserve"> (a petitioner who is outside the United States but is prohibited from entering this country may bring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action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the requirement of “custody”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is broadly construed to include restriction from entry into the United States, since denial of entry amounts to a restraint on liberty).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60" w:history="1">
        <w:r>
          <w:rPr>
            <w:rFonts w:ascii="arial" w:eastAsia="arial" w:hAnsi="arial" w:cs="arial"/>
            <w:b w:val="0"/>
            <w:i/>
            <w:strike w:val="0"/>
            <w:noProof w:val="0"/>
            <w:color w:val="0077CC"/>
            <w:position w:val="0"/>
            <w:sz w:val="18"/>
            <w:u w:val="single"/>
            <w:shd w:val="clear" w:color="auto" w:fill="FFFFFF"/>
            <w:vertAlign w:val="baseline"/>
          </w:rPr>
          <w:t>Samirah v. O’Connell, 335 F.3d 545, 550 (7th Cir. 2003)</w:t>
        </w:r>
      </w:hyperlink>
      <w:r>
        <w:rPr>
          <w:rFonts w:ascii="arial" w:eastAsia="arial" w:hAnsi="arial" w:cs="arial"/>
          <w:b w:val="0"/>
          <w:i w:val="0"/>
          <w:strike w:val="0"/>
          <w:noProof w:val="0"/>
          <w:color w:val="000000"/>
          <w:position w:val="0"/>
          <w:sz w:val="18"/>
          <w:u w:val="none"/>
          <w:vertAlign w:val="baseline"/>
        </w:rPr>
        <w:t xml:space="preserve"> (citing this treatise) (“We disagree with the Ninth Circuit’s construction of </w:t>
      </w:r>
      <w:r>
        <w:rPr>
          <w:rFonts w:ascii="arial" w:eastAsia="arial" w:hAnsi="arial" w:cs="arial"/>
          <w:b w:val="0"/>
          <w:i/>
          <w:strike w:val="0"/>
          <w:noProof w:val="0"/>
          <w:color w:val="000000"/>
          <w:position w:val="0"/>
          <w:sz w:val="18"/>
          <w:u w:val="none"/>
          <w:vertAlign w:val="baseline"/>
        </w:rPr>
        <w:t>Jones</w:t>
      </w:r>
      <w:r>
        <w:rPr>
          <w:rFonts w:ascii="arial" w:eastAsia="arial" w:hAnsi="arial" w:cs="arial"/>
          <w:b w:val="0"/>
          <w:i w:val="0"/>
          <w:strike w:val="0"/>
          <w:noProof w:val="0"/>
          <w:color w:val="000000"/>
          <w:position w:val="0"/>
          <w:sz w:val="18"/>
          <w:u w:val="none"/>
          <w:vertAlign w:val="baseline"/>
        </w:rPr>
        <w:t xml:space="preserve"> [in </w:t>
      </w:r>
      <w:r>
        <w:rPr>
          <w:rFonts w:ascii="arial" w:eastAsia="arial" w:hAnsi="arial" w:cs="arial"/>
          <w:b w:val="0"/>
          <w:i/>
          <w:strike w:val="0"/>
          <w:noProof w:val="0"/>
          <w:color w:val="000000"/>
          <w:position w:val="0"/>
          <w:sz w:val="18"/>
          <w:u w:val="none"/>
          <w:vertAlign w:val="baseline"/>
        </w:rPr>
        <w:t>Subias</w:t>
      </w:r>
      <w:r>
        <w:rPr>
          <w:rFonts w:ascii="arial" w:eastAsia="arial" w:hAnsi="arial" w:cs="arial"/>
          <w:b w:val="0"/>
          <w:i w:val="0"/>
          <w:strike w:val="0"/>
          <w:noProof w:val="0"/>
          <w:color w:val="000000"/>
          <w:position w:val="0"/>
          <w:sz w:val="18"/>
          <w:u w:val="none"/>
          <w:vertAlign w:val="baseline"/>
        </w:rPr>
        <w:t xml:space="preserve">]. [A]n alien abroad who seeks entry into the United States must, at the very least, suffer some unique restraint that would … constitute custody for the purposes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(footnote omitted)).</w:t>
      </w:r>
    </w:p>
  </w:footnote>
  <w:footnote w:id="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30 </w:t>
      </w:r>
      <w:r>
        <w:rPr>
          <w:rFonts w:ascii="arial" w:eastAsia="arial" w:hAnsi="arial" w:cs="arial"/>
          <w:b w:val="0"/>
          <w:i w:val="0"/>
          <w:strike w:val="0"/>
          <w:noProof w:val="0"/>
          <w:color w:val="000000"/>
          <w:position w:val="0"/>
          <w:sz w:val="18"/>
          <w:u w:val="none"/>
          <w:vertAlign w:val="baseline"/>
        </w:rPr>
        <w:t xml:space="preserve">Shaughnessy v. United States </w:t>
      </w:r>
      <w:hyperlink r:id="rId61" w:history="1">
        <w:r>
          <w:rPr>
            <w:rFonts w:ascii="arial" w:eastAsia="arial" w:hAnsi="arial" w:cs="arial"/>
            <w:b w:val="0"/>
            <w:i/>
            <w:strike w:val="0"/>
            <w:noProof w:val="0"/>
            <w:color w:val="0077CC"/>
            <w:position w:val="0"/>
            <w:sz w:val="18"/>
            <w:u w:val="single"/>
            <w:shd w:val="clear" w:color="auto" w:fill="FFFFFF"/>
            <w:vertAlign w:val="baseline"/>
          </w:rPr>
          <w:t>ex rel</w:t>
        </w:r>
      </w:hyperlink>
      <w:hyperlink r:id="rId61" w:history="1">
        <w:r>
          <w:rPr>
            <w:rFonts w:ascii="arial" w:eastAsia="arial" w:hAnsi="arial" w:cs="arial"/>
            <w:b w:val="0"/>
            <w:i/>
            <w:strike w:val="0"/>
            <w:noProof w:val="0"/>
            <w:color w:val="0077CC"/>
            <w:position w:val="0"/>
            <w:sz w:val="18"/>
            <w:u w:val="single"/>
            <w:shd w:val="clear" w:color="auto" w:fill="FFFFFF"/>
            <w:vertAlign w:val="baseline"/>
          </w:rPr>
          <w:t>. Mezei, 345 U.S. 206 (1953)</w:t>
        </w:r>
      </w:hyperlink>
      <w:r>
        <w:rPr>
          <w:rFonts w:ascii="arial" w:eastAsia="arial" w:hAnsi="arial" w:cs="arial"/>
          <w:b w:val="0"/>
          <w:i w:val="0"/>
          <w:strike w:val="0"/>
          <w:noProof w:val="0"/>
          <w:color w:val="000000"/>
          <w:position w:val="0"/>
          <w:sz w:val="18"/>
          <w:u w:val="none"/>
          <w:vertAlign w:val="baseline"/>
        </w:rPr>
        <w:t xml:space="preserve">; </w:t>
      </w:r>
      <w:hyperlink r:id="rId62" w:history="1">
        <w:r>
          <w:rPr>
            <w:rFonts w:ascii="arial" w:eastAsia="arial" w:hAnsi="arial" w:cs="arial"/>
            <w:b w:val="0"/>
            <w:i/>
            <w:strike w:val="0"/>
            <w:noProof w:val="0"/>
            <w:color w:val="0077CC"/>
            <w:position w:val="0"/>
            <w:sz w:val="18"/>
            <w:u w:val="single"/>
            <w:shd w:val="clear" w:color="auto" w:fill="FFFFFF"/>
            <w:vertAlign w:val="baseline"/>
          </w:rPr>
          <w:t>United States v. Jung Ah Lung, 124 U.S. 621 (1888)</w:t>
        </w:r>
      </w:hyperlink>
      <w:r>
        <w:rPr>
          <w:rFonts w:ascii="arial" w:eastAsia="arial" w:hAnsi="arial" w:cs="arial"/>
          <w:b w:val="0"/>
          <w:i w:val="0"/>
          <w:strike w:val="0"/>
          <w:noProof w:val="0"/>
          <w:color w:val="000000"/>
          <w:position w:val="0"/>
          <w:sz w:val="18"/>
          <w:u w:val="none"/>
          <w:vertAlign w:val="baseline"/>
        </w:rPr>
        <w:t>.</w:t>
      </w:r>
    </w:p>
  </w:footnote>
  <w:footnote w:id="3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31 </w:t>
      </w:r>
      <w:r>
        <w:rPr>
          <w:rFonts w:ascii="arial" w:eastAsia="arial" w:hAnsi="arial" w:cs="arial"/>
          <w:b w:val="0"/>
          <w:i w:val="0"/>
          <w:strike w:val="0"/>
          <w:noProof w:val="0"/>
          <w:color w:val="000000"/>
          <w:position w:val="0"/>
          <w:sz w:val="18"/>
          <w:u w:val="none"/>
          <w:vertAlign w:val="baseline"/>
        </w:rPr>
        <w:t xml:space="preserve">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106(b)</w:t>
        </w:r>
      </w:hyperlink>
      <w:r>
        <w:rPr>
          <w:rFonts w:ascii="arial" w:eastAsia="arial" w:hAnsi="arial" w:cs="arial"/>
          <w:b w:val="0"/>
          <w:i w:val="0"/>
          <w:strike w:val="0"/>
          <w:noProof w:val="0"/>
          <w:color w:val="000000"/>
          <w:position w:val="0"/>
          <w:sz w:val="18"/>
          <w:u w:val="none"/>
          <w:vertAlign w:val="baseline"/>
        </w:rPr>
        <w:t xml:space="preserve">, </w:t>
      </w:r>
      <w:hyperlink r:id="rId10" w:history="1">
        <w:r>
          <w:rPr>
            <w:rFonts w:ascii="arial" w:eastAsia="arial" w:hAnsi="arial" w:cs="arial"/>
            <w:b w:val="0"/>
            <w:i/>
            <w:strike w:val="0"/>
            <w:noProof w:val="0"/>
            <w:color w:val="0077CC"/>
            <w:position w:val="0"/>
            <w:sz w:val="18"/>
            <w:u w:val="single"/>
            <w:shd w:val="clear" w:color="auto" w:fill="FFFFFF"/>
            <w:vertAlign w:val="baseline"/>
          </w:rPr>
          <w:t>8 U.S.C. § 1105a(b)</w:t>
        </w:r>
      </w:hyperlink>
      <w:r>
        <w:rPr>
          <w:rFonts w:ascii="arial" w:eastAsia="arial" w:hAnsi="arial" w:cs="arial"/>
          <w:b w:val="0"/>
          <w:i w:val="0"/>
          <w:strike w:val="0"/>
          <w:noProof w:val="0"/>
          <w:color w:val="000000"/>
          <w:position w:val="0"/>
          <w:sz w:val="18"/>
          <w:u w:val="none"/>
          <w:vertAlign w:val="baseline"/>
        </w:rPr>
        <w:t xml:space="preserve">, was repealed by IIRAIRA § 306(b).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3" w:history="1">
        <w:r>
          <w:rPr>
            <w:rFonts w:ascii="arial" w:eastAsia="arial" w:hAnsi="arial" w:cs="arial"/>
            <w:b w:val="0"/>
            <w:i/>
            <w:strike w:val="0"/>
            <w:noProof w:val="0"/>
            <w:color w:val="0077CC"/>
            <w:position w:val="0"/>
            <w:sz w:val="18"/>
            <w:u w:val="single"/>
            <w:shd w:val="clear" w:color="auto" w:fill="FFFFFF"/>
            <w:vertAlign w:val="baseline"/>
          </w:rPr>
          <w:t>Mosa v. Rogers, 89 F.3d 601, 603 (9th Cir. 1996)</w:t>
        </w:r>
      </w:hyperlink>
      <w:r>
        <w:rPr>
          <w:rFonts w:ascii="arial" w:eastAsia="arial" w:hAnsi="arial" w:cs="arial"/>
          <w:b w:val="0"/>
          <w:i w:val="0"/>
          <w:strike w:val="0"/>
          <w:noProof w:val="0"/>
          <w:color w:val="000000"/>
          <w:position w:val="0"/>
          <w:sz w:val="18"/>
          <w:u w:val="none"/>
          <w:vertAlign w:val="baseline"/>
        </w:rPr>
        <w:t xml:space="preserve"> (pre-AEDPA; sole means for obtaining judicial review of final exclusion order was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petition).</w:t>
      </w:r>
    </w:p>
  </w:footnote>
  <w:footnote w:id="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4" w:history="1">
        <w:r>
          <w:rPr>
            <w:rFonts w:ascii="arial" w:eastAsia="arial" w:hAnsi="arial" w:cs="arial"/>
            <w:b w:val="0"/>
            <w:i/>
            <w:strike w:val="0"/>
            <w:noProof w:val="0"/>
            <w:color w:val="0077CC"/>
            <w:position w:val="0"/>
            <w:sz w:val="18"/>
            <w:u w:val="single"/>
            <w:shd w:val="clear" w:color="auto" w:fill="FFFFFF"/>
            <w:vertAlign w:val="baseline"/>
          </w:rPr>
          <w:t>Fleurinor v. INS, 585 F.2d 129, 135–36 (5th Cir. 1978)</w:t>
        </w:r>
      </w:hyperlink>
      <w:r>
        <w:rPr>
          <w:rFonts w:ascii="arial" w:eastAsia="arial" w:hAnsi="arial" w:cs="arial"/>
          <w:b w:val="0"/>
          <w:i w:val="0"/>
          <w:strike w:val="0"/>
          <w:noProof w:val="0"/>
          <w:color w:val="000000"/>
          <w:position w:val="0"/>
          <w:sz w:val="18"/>
          <w:u w:val="none"/>
          <w:vertAlign w:val="baseline"/>
        </w:rPr>
        <w:t xml:space="preserve">; </w:t>
      </w:r>
      <w:hyperlink r:id="rId65" w:history="1">
        <w:r>
          <w:rPr>
            <w:rFonts w:ascii="arial" w:eastAsia="arial" w:hAnsi="arial" w:cs="arial"/>
            <w:b w:val="0"/>
            <w:i/>
            <w:strike w:val="0"/>
            <w:noProof w:val="0"/>
            <w:color w:val="0077CC"/>
            <w:position w:val="0"/>
            <w:sz w:val="18"/>
            <w:u w:val="single"/>
            <w:shd w:val="clear" w:color="auto" w:fill="FFFFFF"/>
            <w:vertAlign w:val="baseline"/>
          </w:rPr>
          <w:t>Dwomoh v. Sava, 696 F. Supp. 970, 979 (S.D.N.Y. 1988)</w:t>
        </w:r>
      </w:hyperlink>
      <w:r>
        <w:rPr>
          <w:rFonts w:ascii="arial" w:eastAsia="arial" w:hAnsi="arial" w:cs="arial"/>
          <w:b w:val="0"/>
          <w:i w:val="0"/>
          <w:strike w:val="0"/>
          <w:noProof w:val="0"/>
          <w:color w:val="000000"/>
          <w:position w:val="0"/>
          <w:sz w:val="18"/>
          <w:u w:val="none"/>
          <w:vertAlign w:val="baseline"/>
        </w:rPr>
        <w:t>.</w:t>
      </w:r>
    </w:p>
  </w:footnote>
  <w:footnote w:id="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6" w:history="1">
        <w:r>
          <w:rPr>
            <w:rFonts w:ascii="arial" w:eastAsia="arial" w:hAnsi="arial" w:cs="arial"/>
            <w:b w:val="0"/>
            <w:i/>
            <w:strike w:val="0"/>
            <w:noProof w:val="0"/>
            <w:color w:val="0077CC"/>
            <w:position w:val="0"/>
            <w:sz w:val="18"/>
            <w:u w:val="single"/>
            <w:shd w:val="clear" w:color="auto" w:fill="FFFFFF"/>
            <w:vertAlign w:val="baseline"/>
          </w:rPr>
          <w:t>Amanullah v. Nelson, 811 F.2d 1 (1st Cir. 1987)</w:t>
        </w:r>
      </w:hyperlink>
      <w:r>
        <w:rPr>
          <w:rFonts w:ascii="arial" w:eastAsia="arial" w:hAnsi="arial" w:cs="arial"/>
          <w:b w:val="0"/>
          <w:i w:val="0"/>
          <w:strike w:val="0"/>
          <w:noProof w:val="0"/>
          <w:color w:val="000000"/>
          <w:position w:val="0"/>
          <w:sz w:val="18"/>
          <w:u w:val="none"/>
          <w:vertAlign w:val="baseline"/>
        </w:rPr>
        <w:t xml:space="preserve"> (noncitizens detained in exclusion proceedings).</w:t>
      </w:r>
    </w:p>
  </w:footnote>
  <w:footnote w:id="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7" w:history="1">
        <w:r>
          <w:rPr>
            <w:rFonts w:ascii="arial" w:eastAsia="arial" w:hAnsi="arial" w:cs="arial"/>
            <w:b w:val="0"/>
            <w:i/>
            <w:strike w:val="0"/>
            <w:noProof w:val="0"/>
            <w:color w:val="0077CC"/>
            <w:position w:val="0"/>
            <w:sz w:val="18"/>
            <w:u w:val="single"/>
            <w:shd w:val="clear" w:color="auto" w:fill="FFFFFF"/>
            <w:vertAlign w:val="baseline"/>
          </w:rPr>
          <w:t>Application of Phelisna, 551 F. Supp. 960 (E.D.N.Y. 1982)</w:t>
        </w:r>
      </w:hyperlink>
      <w:r>
        <w:rPr>
          <w:rFonts w:ascii="arial" w:eastAsia="arial" w:hAnsi="arial" w:cs="arial"/>
          <w:b w:val="0"/>
          <w:i w:val="0"/>
          <w:strike w:val="0"/>
          <w:noProof w:val="0"/>
          <w:color w:val="000000"/>
          <w:position w:val="0"/>
          <w:sz w:val="18"/>
          <w:u w:val="none"/>
          <w:vertAlign w:val="baseline"/>
        </w:rPr>
        <w:t>.</w:t>
      </w:r>
    </w:p>
  </w:footnote>
  <w:footnote w:id="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35 </w:t>
      </w:r>
      <w:hyperlink r:id="rId68" w:history="1">
        <w:r>
          <w:rPr>
            <w:rFonts w:ascii="arial" w:eastAsia="arial" w:hAnsi="arial" w:cs="arial"/>
            <w:b w:val="0"/>
            <w:i/>
            <w:strike w:val="0"/>
            <w:noProof w:val="0"/>
            <w:color w:val="0077CC"/>
            <w:position w:val="0"/>
            <w:sz w:val="18"/>
            <w:u w:val="single"/>
            <w:shd w:val="clear" w:color="auto" w:fill="FFFFFF"/>
            <w:vertAlign w:val="baseline"/>
          </w:rPr>
          <w:t>Selgeka v. Carroll, 184 F.3d 337 (4th Cir. 1999)</w:t>
        </w:r>
      </w:hyperlink>
      <w:r>
        <w:rPr>
          <w:rFonts w:ascii="arial" w:eastAsia="arial" w:hAnsi="arial" w:cs="arial"/>
          <w:b w:val="0"/>
          <w:i w:val="0"/>
          <w:strike w:val="0"/>
          <w:noProof w:val="0"/>
          <w:color w:val="000000"/>
          <w:position w:val="0"/>
          <w:sz w:val="18"/>
          <w:u w:val="none"/>
          <w:vertAlign w:val="baseline"/>
        </w:rPr>
        <w:t xml:space="preserve">; </w:t>
      </w:r>
      <w:hyperlink r:id="rId69" w:history="1">
        <w:r>
          <w:rPr>
            <w:rFonts w:ascii="arial" w:eastAsia="arial" w:hAnsi="arial" w:cs="arial"/>
            <w:b w:val="0"/>
            <w:i/>
            <w:strike w:val="0"/>
            <w:noProof w:val="0"/>
            <w:color w:val="0077CC"/>
            <w:position w:val="0"/>
            <w:sz w:val="18"/>
            <w:u w:val="single"/>
            <w:shd w:val="clear" w:color="auto" w:fill="FFFFFF"/>
            <w:vertAlign w:val="baseline"/>
          </w:rPr>
          <w:t>Garcia v. Smith, 674 F.2d 838, 840 (11th Cir. 1982)</w:t>
        </w:r>
      </w:hyperlink>
      <w:r>
        <w:rPr>
          <w:rFonts w:ascii="arial" w:eastAsia="arial" w:hAnsi="arial" w:cs="arial"/>
          <w:b w:val="0"/>
          <w:i w:val="0"/>
          <w:strike w:val="0"/>
          <w:noProof w:val="0"/>
          <w:color w:val="000000"/>
          <w:position w:val="0"/>
          <w:sz w:val="18"/>
          <w:u w:val="none"/>
          <w:vertAlign w:val="baseline"/>
        </w:rPr>
        <w:t>.</w:t>
      </w:r>
    </w:p>
  </w:footnote>
  <w:footnote w:id="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36 </w:t>
      </w:r>
      <w:hyperlink r:id="rId70" w:history="1">
        <w:r>
          <w:rPr>
            <w:rFonts w:ascii="arial" w:eastAsia="arial" w:hAnsi="arial" w:cs="arial"/>
            <w:b w:val="0"/>
            <w:i/>
            <w:strike w:val="0"/>
            <w:noProof w:val="0"/>
            <w:color w:val="0077CC"/>
            <w:position w:val="0"/>
            <w:sz w:val="18"/>
            <w:u w:val="single"/>
            <w:shd w:val="clear" w:color="auto" w:fill="FFFFFF"/>
            <w:vertAlign w:val="baseline"/>
          </w:rPr>
          <w:t>Garcia v. Smith, 680 F.2d 1327, 1328 (11th Cir. 1982)</w:t>
        </w:r>
      </w:hyperlink>
      <w:r>
        <w:rPr>
          <w:rFonts w:ascii="arial" w:eastAsia="arial" w:hAnsi="arial" w:cs="arial"/>
          <w:b w:val="0"/>
          <w:i w:val="0"/>
          <w:strike w:val="0"/>
          <w:noProof w:val="0"/>
          <w:color w:val="000000"/>
          <w:position w:val="0"/>
          <w:sz w:val="18"/>
          <w:u w:val="none"/>
          <w:vertAlign w:val="baseline"/>
        </w:rPr>
        <w:t xml:space="preserve"> (remanding for consideration of merits regarding benefits conferred by the Refugee Act of 1980: “However unlikely it is that Garcia’s claim is correct, he is entitled to raise it.”).</w:t>
      </w:r>
    </w:p>
  </w:footnote>
  <w:footnote w:id="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6" w:history="1">
        <w:r>
          <w:rPr>
            <w:rFonts w:ascii="arial" w:eastAsia="arial" w:hAnsi="arial" w:cs="arial"/>
            <w:b w:val="0"/>
            <w:i/>
            <w:strike w:val="0"/>
            <w:noProof w:val="0"/>
            <w:color w:val="0077CC"/>
            <w:position w:val="0"/>
            <w:sz w:val="18"/>
            <w:u w:val="single"/>
            <w:shd w:val="clear" w:color="auto" w:fill="FFFFFF"/>
            <w:vertAlign w:val="baseline"/>
          </w:rPr>
          <w:t>Amanullah v. Nelson, 811 F.2d 1 (1st Cir. 1987)</w:t>
        </w:r>
      </w:hyperlink>
      <w:r>
        <w:rPr>
          <w:rFonts w:ascii="arial" w:eastAsia="arial" w:hAnsi="arial" w:cs="arial"/>
          <w:b w:val="0"/>
          <w:i w:val="0"/>
          <w:strike w:val="0"/>
          <w:noProof w:val="0"/>
          <w:color w:val="000000"/>
          <w:position w:val="0"/>
          <w:sz w:val="18"/>
          <w:u w:val="none"/>
          <w:vertAlign w:val="baseline"/>
        </w:rPr>
        <w:t xml:space="preserve"> (noncitizens detained in exclusion proceedings); </w:t>
      </w:r>
      <w:r>
        <w:rPr>
          <w:rFonts w:ascii="arial" w:eastAsia="arial" w:hAnsi="arial" w:cs="arial"/>
          <w:b w:val="0"/>
          <w:i/>
          <w:strike w:val="0"/>
          <w:noProof w:val="0"/>
          <w:color w:val="000000"/>
          <w:position w:val="0"/>
          <w:sz w:val="18"/>
          <w:u w:val="none"/>
          <w:vertAlign w:val="baseline"/>
        </w:rPr>
        <w:t>cf</w:t>
      </w:r>
      <w:r>
        <w:rPr>
          <w:rFonts w:ascii="arial" w:eastAsia="arial" w:hAnsi="arial" w:cs="arial"/>
          <w:b w:val="0"/>
          <w:i w:val="0"/>
          <w:strike w:val="0"/>
          <w:noProof w:val="0"/>
          <w:color w:val="000000"/>
          <w:position w:val="0"/>
          <w:sz w:val="18"/>
          <w:u w:val="none"/>
          <w:vertAlign w:val="baseline"/>
        </w:rPr>
        <w:t xml:space="preserve">. </w:t>
      </w:r>
      <w:hyperlink r:id="rId32" w:history="1">
        <w:r>
          <w:rPr>
            <w:rFonts w:ascii="arial" w:eastAsia="arial" w:hAnsi="arial" w:cs="arial"/>
            <w:b w:val="0"/>
            <w:i/>
            <w:strike w:val="0"/>
            <w:noProof w:val="0"/>
            <w:color w:val="0077CC"/>
            <w:position w:val="0"/>
            <w:sz w:val="18"/>
            <w:u w:val="single"/>
            <w:shd w:val="clear" w:color="auto" w:fill="FFFFFF"/>
            <w:vertAlign w:val="baseline"/>
          </w:rPr>
          <w:t>Brownell v. We Shung, 352 U.S. 180, 183 (1956)</w:t>
        </w:r>
      </w:hyperlink>
      <w:r>
        <w:rPr>
          <w:rFonts w:ascii="arial" w:eastAsia="arial" w:hAnsi="arial" w:cs="arial"/>
          <w:b w:val="0"/>
          <w:i w:val="0"/>
          <w:strike w:val="0"/>
          <w:noProof w:val="0"/>
          <w:color w:val="000000"/>
          <w:position w:val="0"/>
          <w:sz w:val="18"/>
          <w:u w:val="none"/>
          <w:vertAlign w:val="baseline"/>
        </w:rPr>
        <w:t xml:space="preserve"> (exclusion case; Court stated in dictum that “[f]or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proceeding the alien must be detained or at the least be in technical custody”). The custody requirement is discussed further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in § 104.04[4]</w:t>
        </w:r>
      </w:hyperlink>
      <w:r>
        <w:rPr>
          <w:rFonts w:ascii="arial" w:eastAsia="arial" w:hAnsi="arial" w:cs="arial"/>
          <w:b w:val="0"/>
          <w:i w:val="0"/>
          <w:strike w:val="0"/>
          <w:noProof w:val="0"/>
          <w:color w:val="000000"/>
          <w:position w:val="0"/>
          <w:sz w:val="18"/>
          <w:u w:val="none"/>
          <w:vertAlign w:val="baseline"/>
        </w:rPr>
        <w:t>.</w:t>
      </w:r>
    </w:p>
  </w:footnote>
  <w:footnote w:id="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38 </w:t>
      </w:r>
      <w:r>
        <w:rPr>
          <w:rFonts w:ascii="arial" w:eastAsia="arial" w:hAnsi="arial" w:cs="arial"/>
          <w:b w:val="0"/>
          <w:i w:val="0"/>
          <w:strike w:val="0"/>
          <w:noProof w:val="0"/>
          <w:color w:val="000000"/>
          <w:position w:val="0"/>
          <w:sz w:val="18"/>
          <w:u w:val="none"/>
          <w:vertAlign w:val="baseline"/>
        </w:rPr>
        <w:t xml:space="preserve">Even when § 106(b) was in the INA, courts sometimes invoked the federal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statute,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in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exclusion cases.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46" w:history="1">
        <w:r>
          <w:rPr>
            <w:rFonts w:ascii="arial" w:eastAsia="arial" w:hAnsi="arial" w:cs="arial"/>
            <w:b w:val="0"/>
            <w:i/>
            <w:strike w:val="0"/>
            <w:noProof w:val="0"/>
            <w:color w:val="0077CC"/>
            <w:position w:val="0"/>
            <w:sz w:val="18"/>
            <w:u w:val="single"/>
            <w:shd w:val="clear" w:color="auto" w:fill="FFFFFF"/>
            <w:vertAlign w:val="baseline"/>
          </w:rPr>
          <w:t>Pierre v. Rivkind, 825 F.2d 1501, 1503 (11th Cir. 1987)</w:t>
        </w:r>
      </w:hyperlink>
      <w:r>
        <w:rPr>
          <w:rFonts w:ascii="arial" w:eastAsia="arial" w:hAnsi="arial" w:cs="arial"/>
          <w:b w:val="0"/>
          <w:i w:val="0"/>
          <w:strike w:val="0"/>
          <w:noProof w:val="0"/>
          <w:color w:val="000000"/>
          <w:position w:val="0"/>
          <w:sz w:val="18"/>
          <w:u w:val="none"/>
          <w:vertAlign w:val="baseline"/>
        </w:rPr>
        <w:t xml:space="preserve">. Before enactment of the REAL ID Act, the Supreme Court held that § 2241 continued to provide jurisdiction to review matters concerning removal, whether they would have been exclusion or deportation matters under prior law. </w:t>
      </w:r>
      <w:hyperlink r:id="rId46" w:history="1">
        <w:r>
          <w:rPr>
            <w:rFonts w:ascii="arial" w:eastAsia="arial" w:hAnsi="arial" w:cs="arial"/>
            <w:b w:val="0"/>
            <w:i/>
            <w:strike w:val="0"/>
            <w:noProof w:val="0"/>
            <w:color w:val="0077CC"/>
            <w:position w:val="0"/>
            <w:sz w:val="18"/>
            <w:u w:val="single"/>
            <w:shd w:val="clear" w:color="auto" w:fill="FFFFFF"/>
            <w:vertAlign w:val="baseline"/>
          </w:rPr>
          <w:t>Pierre v. Rivkind, 825 F.2d 1501, 1503 (11th Cir. 1987)</w:t>
        </w:r>
      </w:hyperlink>
      <w:r>
        <w:rPr>
          <w:rFonts w:ascii="arial" w:eastAsia="arial" w:hAnsi="arial" w:cs="arial"/>
          <w:b w:val="0"/>
          <w:i w:val="0"/>
          <w:strike w:val="0"/>
          <w:noProof w:val="0"/>
          <w:color w:val="000000"/>
          <w:position w:val="0"/>
          <w:sz w:val="18"/>
          <w:u w:val="none"/>
          <w:vertAlign w:val="baseline"/>
        </w:rPr>
        <w:t>.</w:t>
      </w:r>
    </w:p>
  </w:footnote>
  <w:footnote w:id="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104.04[2][e][ii]</w:t>
        </w:r>
      </w:hyperlink>
      <w:r>
        <w:rPr>
          <w:rFonts w:ascii="arial" w:eastAsia="arial" w:hAnsi="arial" w:cs="arial"/>
          <w:b w:val="0"/>
          <w:i w:val="0"/>
          <w:strike w:val="0"/>
          <w:noProof w:val="0"/>
          <w:color w:val="000000"/>
          <w:position w:val="0"/>
          <w:sz w:val="18"/>
          <w:u w:val="none"/>
          <w:vertAlign w:val="baseline"/>
        </w:rPr>
        <w:t>.</w:t>
      </w:r>
    </w:p>
  </w:footnote>
  <w:footnote w:id="4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40 </w:t>
      </w:r>
      <w:r>
        <w:rPr>
          <w:rFonts w:ascii="arial" w:eastAsia="arial" w:hAnsi="arial" w:cs="arial"/>
          <w:b/>
          <w:i/>
          <w:strike w:val="0"/>
          <w:noProof w:val="0"/>
          <w:color w:val="000000"/>
          <w:position w:val="0"/>
          <w:sz w:val="18"/>
          <w:u w:val="none"/>
          <w:vertAlign w:val="baseline"/>
        </w:rPr>
        <w:t>Pub. L. No. 104-132, 110 Stat. 1214</w:t>
      </w:r>
      <w:r>
        <w:rPr>
          <w:rFonts w:ascii="arial" w:eastAsia="arial" w:hAnsi="arial" w:cs="arial"/>
          <w:b w:val="0"/>
          <w:i w:val="0"/>
          <w:strike w:val="0"/>
          <w:noProof w:val="0"/>
          <w:color w:val="000000"/>
          <w:position w:val="0"/>
          <w:sz w:val="18"/>
          <w:u w:val="none"/>
          <w:vertAlign w:val="baseline"/>
        </w:rPr>
        <w:t>.</w:t>
      </w:r>
    </w:p>
  </w:footnote>
  <w:footnote w:id="4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41 </w:t>
      </w:r>
      <w:r>
        <w:rPr>
          <w:rFonts w:ascii="arial" w:eastAsia="arial" w:hAnsi="arial" w:cs="arial"/>
          <w:b/>
          <w:i/>
          <w:strike w:val="0"/>
          <w:noProof w:val="0"/>
          <w:color w:val="000000"/>
          <w:position w:val="0"/>
          <w:sz w:val="18"/>
          <w:u w:val="none"/>
          <w:vertAlign w:val="baseline"/>
        </w:rPr>
        <w:t>Pub. L. No. 104-208</w:t>
      </w:r>
      <w:r>
        <w:rPr>
          <w:rFonts w:ascii="arial" w:eastAsia="arial" w:hAnsi="arial" w:cs="arial"/>
          <w:b w:val="0"/>
          <w:i w:val="0"/>
          <w:strike w:val="0"/>
          <w:noProof w:val="0"/>
          <w:color w:val="000000"/>
          <w:position w:val="0"/>
          <w:sz w:val="18"/>
          <w:u w:val="none"/>
          <w:vertAlign w:val="baseline"/>
        </w:rPr>
        <w:t xml:space="preserve">, div. C., </w:t>
      </w:r>
      <w:r>
        <w:rPr>
          <w:rFonts w:ascii="arial" w:eastAsia="arial" w:hAnsi="arial" w:cs="arial"/>
          <w:b/>
          <w:i/>
          <w:strike w:val="0"/>
          <w:noProof w:val="0"/>
          <w:color w:val="000000"/>
          <w:position w:val="0"/>
          <w:sz w:val="18"/>
          <w:u w:val="none"/>
          <w:vertAlign w:val="baseline"/>
        </w:rPr>
        <w:t>110 Stat. 3009</w:t>
      </w:r>
      <w:r>
        <w:rPr>
          <w:rFonts w:ascii="arial" w:eastAsia="arial" w:hAnsi="arial" w:cs="arial"/>
          <w:b w:val="0"/>
          <w:i w:val="0"/>
          <w:strike w:val="0"/>
          <w:noProof w:val="0"/>
          <w:color w:val="000000"/>
          <w:position w:val="0"/>
          <w:sz w:val="18"/>
          <w:u w:val="none"/>
          <w:vertAlign w:val="baseline"/>
        </w:rPr>
        <w:t>-546. For more on the effect of the AEDPA and the IIRAIRA’s judicial-review changes in the non-</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context,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104.13</w:t>
        </w:r>
      </w:hyperlink>
      <w:r>
        <w:rPr>
          <w:rFonts w:ascii="arial" w:eastAsia="arial" w:hAnsi="arial" w:cs="arial"/>
          <w:b w:val="0"/>
          <w:i w:val="0"/>
          <w:strike w:val="0"/>
          <w:noProof w:val="0"/>
          <w:color w:val="000000"/>
          <w:position w:val="0"/>
          <w:sz w:val="18"/>
          <w:u w:val="none"/>
          <w:vertAlign w:val="baseline"/>
        </w:rPr>
        <w:t>.</w:t>
      </w:r>
    </w:p>
  </w:footnote>
  <w:footnote w:id="4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42 </w:t>
      </w:r>
      <w:r>
        <w:rPr>
          <w:rFonts w:ascii="arial" w:eastAsia="arial" w:hAnsi="arial" w:cs="arial"/>
          <w:b/>
          <w:i/>
          <w:strike w:val="0"/>
          <w:noProof w:val="0"/>
          <w:color w:val="000000"/>
          <w:position w:val="0"/>
          <w:sz w:val="18"/>
          <w:u w:val="none"/>
          <w:vertAlign w:val="baseline"/>
        </w:rPr>
        <w:t>Pub. L. No. 109-13</w:t>
      </w:r>
      <w:r>
        <w:rPr>
          <w:rFonts w:ascii="arial" w:eastAsia="arial" w:hAnsi="arial" w:cs="arial"/>
          <w:b w:val="0"/>
          <w:i w:val="0"/>
          <w:strike w:val="0"/>
          <w:noProof w:val="0"/>
          <w:color w:val="000000"/>
          <w:position w:val="0"/>
          <w:sz w:val="18"/>
          <w:u w:val="none"/>
          <w:vertAlign w:val="baseline"/>
        </w:rPr>
        <w:t xml:space="preserve">, div. B, </w:t>
      </w:r>
      <w:r>
        <w:rPr>
          <w:rFonts w:ascii="arial" w:eastAsia="arial" w:hAnsi="arial" w:cs="arial"/>
          <w:b/>
          <w:i/>
          <w:strike w:val="0"/>
          <w:noProof w:val="0"/>
          <w:color w:val="000000"/>
          <w:position w:val="0"/>
          <w:sz w:val="18"/>
          <w:u w:val="none"/>
          <w:vertAlign w:val="baseline"/>
        </w:rPr>
        <w:t>119 Stat. 231</w:t>
      </w:r>
      <w:r>
        <w:rPr>
          <w:rFonts w:ascii="arial" w:eastAsia="arial" w:hAnsi="arial" w:cs="arial"/>
          <w:b w:val="0"/>
          <w:i w:val="0"/>
          <w:strike w:val="0"/>
          <w:noProof w:val="0"/>
          <w:color w:val="000000"/>
          <w:position w:val="0"/>
          <w:sz w:val="18"/>
          <w:u w:val="none"/>
          <w:vertAlign w:val="baseline"/>
        </w:rPr>
        <w:t>, 302.</w:t>
      </w:r>
    </w:p>
  </w:footnote>
  <w:footnote w:id="4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43 </w:t>
      </w:r>
      <w:r>
        <w:rPr>
          <w:rFonts w:ascii="arial" w:eastAsia="arial" w:hAnsi="arial" w:cs="arial"/>
          <w:b w:val="0"/>
          <w:i w:val="0"/>
          <w:strike w:val="0"/>
          <w:noProof w:val="0"/>
          <w:color w:val="000000"/>
          <w:position w:val="0"/>
          <w:sz w:val="18"/>
          <w:u w:val="none"/>
          <w:vertAlign w:val="baseline"/>
        </w:rPr>
        <w:t>AEDPA § 401(e).</w:t>
      </w:r>
    </w:p>
  </w:footnote>
  <w:footnote w:id="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44 </w:t>
      </w:r>
      <w:r>
        <w:rPr>
          <w:rFonts w:ascii="arial" w:eastAsia="arial" w:hAnsi="arial" w:cs="arial"/>
          <w:b w:val="0"/>
          <w:i w:val="0"/>
          <w:strike w:val="0"/>
          <w:noProof w:val="0"/>
          <w:color w:val="000000"/>
          <w:position w:val="0"/>
          <w:sz w:val="18"/>
          <w:u w:val="none"/>
          <w:vertAlign w:val="baseline"/>
        </w:rPr>
        <w:t xml:space="preserve">AEDPA § 440(a) added the restriction on judicial review for noncitizens deportable “by reason of” enumerated criminal grounds.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104.13[3][b]</w:t>
        </w:r>
      </w:hyperlink>
      <w:r>
        <w:rPr>
          <w:rFonts w:ascii="arial" w:eastAsia="arial" w:hAnsi="arial" w:cs="arial"/>
          <w:b w:val="0"/>
          <w:i w:val="0"/>
          <w:strike w:val="0"/>
          <w:noProof w:val="0"/>
          <w:color w:val="000000"/>
          <w:position w:val="0"/>
          <w:sz w:val="18"/>
          <w:u w:val="none"/>
          <w:vertAlign w:val="baseline"/>
        </w:rPr>
        <w:t>.</w:t>
      </w:r>
    </w:p>
  </w:footnote>
  <w:footnote w:id="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45 </w:t>
      </w:r>
      <w:r>
        <w:rPr>
          <w:rFonts w:ascii="arial" w:eastAsia="arial" w:hAnsi="arial" w:cs="arial"/>
          <w:b w:val="0"/>
          <w:i w:val="0"/>
          <w:strike w:val="0"/>
          <w:noProof w:val="0"/>
          <w:color w:val="000000"/>
          <w:position w:val="0"/>
          <w:sz w:val="18"/>
          <w:u w:val="none"/>
          <w:vertAlign w:val="baseline"/>
        </w:rPr>
        <w:t xml:space="preserve">IIRAIRA § 306(b) and (c) (repealing </w:t>
      </w:r>
      <w:hyperlink r:id="rId10" w:history="1">
        <w:r>
          <w:rPr>
            <w:rFonts w:ascii="arial" w:eastAsia="arial" w:hAnsi="arial" w:cs="arial"/>
            <w:b w:val="0"/>
            <w:i/>
            <w:strike w:val="0"/>
            <w:noProof w:val="0"/>
            <w:color w:val="0077CC"/>
            <w:position w:val="0"/>
            <w:sz w:val="18"/>
            <w:u w:val="single"/>
            <w:shd w:val="clear" w:color="auto" w:fill="FFFFFF"/>
            <w:vertAlign w:val="baseline"/>
          </w:rPr>
          <w:t>INA § 106</w:t>
        </w:r>
      </w:hyperlink>
      <w:r>
        <w:rPr>
          <w:rFonts w:ascii="arial" w:eastAsia="arial" w:hAnsi="arial" w:cs="arial"/>
          <w:b w:val="0"/>
          <w:i w:val="0"/>
          <w:strike w:val="0"/>
          <w:noProof w:val="0"/>
          <w:color w:val="000000"/>
          <w:position w:val="0"/>
          <w:sz w:val="18"/>
          <w:u w:val="none"/>
          <w:vertAlign w:val="baseline"/>
        </w:rPr>
        <w:t xml:space="preserve"> and creating new </w:t>
      </w:r>
      <w:hyperlink r:id="rId71" w:history="1">
        <w:r>
          <w:rPr>
            <w:rFonts w:ascii="arial" w:eastAsia="arial" w:hAnsi="arial" w:cs="arial"/>
            <w:b w:val="0"/>
            <w:i/>
            <w:strike w:val="0"/>
            <w:noProof w:val="0"/>
            <w:color w:val="0077CC"/>
            <w:position w:val="0"/>
            <w:sz w:val="18"/>
            <w:u w:val="single"/>
            <w:shd w:val="clear" w:color="auto" w:fill="FFFFFF"/>
            <w:vertAlign w:val="baseline"/>
          </w:rPr>
          <w:t>INA § 242</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w:t>
      </w:r>
    </w:p>
  </w:footnote>
  <w:footnote w:id="4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46 </w:t>
      </w:r>
      <w:r>
        <w:rPr>
          <w:rFonts w:ascii="arial" w:eastAsia="arial" w:hAnsi="arial" w:cs="arial"/>
          <w:b w:val="0"/>
          <w:i w:val="0"/>
          <w:strike w:val="0"/>
          <w:noProof w:val="0"/>
          <w:color w:val="000000"/>
          <w:position w:val="0"/>
          <w:sz w:val="18"/>
          <w:u w:val="none"/>
          <w:vertAlign w:val="baseline"/>
        </w:rPr>
        <w:t>IIRAIRA § 306(c)(1).</w:t>
      </w:r>
    </w:p>
  </w:footnote>
  <w:footnote w:id="4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47 </w:t>
      </w:r>
      <w:r>
        <w:rPr>
          <w:rFonts w:ascii="arial" w:eastAsia="arial" w:hAnsi="arial" w:cs="arial"/>
          <w:b w:val="0"/>
          <w:i w:val="0"/>
          <w:strike w:val="0"/>
          <w:noProof w:val="0"/>
          <w:color w:val="000000"/>
          <w:position w:val="0"/>
          <w:sz w:val="18"/>
          <w:u w:val="none"/>
          <w:vertAlign w:val="baseline"/>
        </w:rPr>
        <w:t>REAL ID Act § 106(a).</w:t>
      </w:r>
    </w:p>
  </w:footnote>
  <w:footnote w:id="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48 </w:t>
      </w:r>
      <w:r>
        <w:rPr>
          <w:rFonts w:ascii="arial" w:eastAsia="arial" w:hAnsi="arial" w:cs="arial"/>
          <w:b/>
          <w:i/>
          <w:strike w:val="0"/>
          <w:noProof w:val="0"/>
          <w:color w:val="000000"/>
          <w:position w:val="0"/>
          <w:sz w:val="18"/>
          <w:u w:val="none"/>
          <w:vertAlign w:val="baseline"/>
        </w:rPr>
        <w:t>Pub. L. No. 104-132</w:t>
      </w:r>
      <w:r>
        <w:rPr>
          <w:rFonts w:ascii="arial" w:eastAsia="arial" w:hAnsi="arial" w:cs="arial"/>
          <w:b w:val="0"/>
          <w:i w:val="0"/>
          <w:strike w:val="0"/>
          <w:noProof w:val="0"/>
          <w:color w:val="000000"/>
          <w:position w:val="0"/>
          <w:sz w:val="18"/>
          <w:u w:val="none"/>
          <w:vertAlign w:val="baseline"/>
        </w:rPr>
        <w:t xml:space="preserve">, § 401(e), </w:t>
      </w:r>
      <w:r>
        <w:rPr>
          <w:rFonts w:ascii="arial" w:eastAsia="arial" w:hAnsi="arial" w:cs="arial"/>
          <w:b/>
          <w:i/>
          <w:strike w:val="0"/>
          <w:noProof w:val="0"/>
          <w:color w:val="000000"/>
          <w:position w:val="0"/>
          <w:sz w:val="18"/>
          <w:u w:val="none"/>
          <w:vertAlign w:val="baseline"/>
        </w:rPr>
        <w:t>110 Stat. 1214</w:t>
      </w:r>
      <w:r>
        <w:rPr>
          <w:rFonts w:ascii="arial" w:eastAsia="arial" w:hAnsi="arial" w:cs="arial"/>
          <w:b w:val="0"/>
          <w:i w:val="0"/>
          <w:strike w:val="0"/>
          <w:noProof w:val="0"/>
          <w:color w:val="000000"/>
          <w:position w:val="0"/>
          <w:sz w:val="18"/>
          <w:u w:val="none"/>
          <w:vertAlign w:val="baseline"/>
        </w:rPr>
        <w:t xml:space="preserve">, 1268 (Apr. 1996);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72" w:history="1">
        <w:r>
          <w:rPr>
            <w:rFonts w:ascii="arial" w:eastAsia="arial" w:hAnsi="arial" w:cs="arial"/>
            <w:b w:val="0"/>
            <w:i/>
            <w:strike w:val="0"/>
            <w:noProof w:val="0"/>
            <w:color w:val="0077CC"/>
            <w:position w:val="0"/>
            <w:sz w:val="18"/>
            <w:u w:val="single"/>
            <w:shd w:val="clear" w:color="auto" w:fill="FFFFFF"/>
            <w:vertAlign w:val="baseline"/>
          </w:rPr>
          <w:t>Chow v. Reno, 193 F.3d 892, 893–94 (7th Cir. 1999)</w:t>
        </w:r>
      </w:hyperlink>
      <w:r>
        <w:rPr>
          <w:rFonts w:ascii="arial" w:eastAsia="arial" w:hAnsi="arial" w:cs="arial"/>
          <w:b w:val="0"/>
          <w:i w:val="0"/>
          <w:strike w:val="0"/>
          <w:noProof w:val="0"/>
          <w:color w:val="000000"/>
          <w:position w:val="0"/>
          <w:sz w:val="18"/>
          <w:u w:val="none"/>
          <w:vertAlign w:val="baseline"/>
        </w:rPr>
        <w:t>.</w:t>
      </w:r>
    </w:p>
  </w:footnote>
  <w:footnote w:id="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49 </w:t>
      </w:r>
      <w:r>
        <w:rPr>
          <w:rFonts w:ascii="arial" w:eastAsia="arial" w:hAnsi="arial" w:cs="arial"/>
          <w:b w:val="0"/>
          <w:i w:val="0"/>
          <w:strike w:val="0"/>
          <w:noProof w:val="0"/>
          <w:color w:val="000000"/>
          <w:position w:val="0"/>
          <w:sz w:val="18"/>
          <w:u w:val="none"/>
          <w:vertAlign w:val="baseline"/>
        </w:rPr>
        <w:t xml:space="preserve">Importantly, as discussed in more detail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in § 104.04[2][e]</w:t>
        </w:r>
      </w:hyperlink>
      <w:r>
        <w:rPr>
          <w:rFonts w:ascii="arial" w:eastAsia="arial" w:hAnsi="arial" w:cs="arial"/>
          <w:b w:val="0"/>
          <w:i w:val="0"/>
          <w:strike w:val="0"/>
          <w:noProof w:val="0"/>
          <w:color w:val="000000"/>
          <w:position w:val="0"/>
          <w:sz w:val="18"/>
          <w:u w:val="none"/>
          <w:vertAlign w:val="baseline"/>
        </w:rPr>
        <w:t xml:space="preserve">, the AEDPA did not repeal or amend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which had been used before § 106(a)(10) was added to the INA and has been invoked extensively since the AEDPA.</w:t>
      </w:r>
    </w:p>
  </w:footnote>
  <w:footnote w:id="5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50 </w:t>
      </w:r>
      <w:r>
        <w:rPr>
          <w:rFonts w:ascii="arial" w:eastAsia="arial" w:hAnsi="arial" w:cs="arial"/>
          <w:b w:val="0"/>
          <w:i w:val="0"/>
          <w:strike w:val="0"/>
          <w:noProof w:val="0"/>
          <w:color w:val="000000"/>
          <w:position w:val="0"/>
          <w:sz w:val="18"/>
          <w:u w:val="none"/>
          <w:vertAlign w:val="baseline"/>
        </w:rPr>
        <w:t xml:space="preserve">Lenni B. Benson, </w:t>
      </w:r>
      <w:r>
        <w:rPr>
          <w:rFonts w:ascii="arial" w:eastAsia="arial" w:hAnsi="arial" w:cs="arial"/>
          <w:b w:val="0"/>
          <w:i/>
          <w:strike w:val="0"/>
          <w:noProof w:val="0"/>
          <w:color w:val="000000"/>
          <w:position w:val="0"/>
          <w:sz w:val="18"/>
          <w:u w:val="none"/>
          <w:vertAlign w:val="baseline"/>
        </w:rPr>
        <w:t>Back to the Future: Congress Attacks the Right to Judicial Review of Immigration Proceedings</w:t>
      </w:r>
      <w:r>
        <w:rPr>
          <w:rFonts w:ascii="arial" w:eastAsia="arial" w:hAnsi="arial" w:cs="arial"/>
          <w:b w:val="0"/>
          <w:i w:val="0"/>
          <w:strike w:val="0"/>
          <w:noProof w:val="0"/>
          <w:color w:val="000000"/>
          <w:position w:val="0"/>
          <w:sz w:val="18"/>
          <w:u w:val="none"/>
          <w:vertAlign w:val="baseline"/>
        </w:rPr>
        <w:t xml:space="preserve">, </w:t>
      </w:r>
      <w:hyperlink r:id="rId73" w:history="1">
        <w:r>
          <w:rPr>
            <w:rFonts w:ascii="arial" w:eastAsia="arial" w:hAnsi="arial" w:cs="arial"/>
            <w:b w:val="0"/>
            <w:i/>
            <w:strike w:val="0"/>
            <w:noProof w:val="0"/>
            <w:color w:val="0077CC"/>
            <w:position w:val="0"/>
            <w:sz w:val="18"/>
            <w:u w:val="single"/>
            <w:shd w:val="clear" w:color="auto" w:fill="FFFFFF"/>
            <w:vertAlign w:val="baseline"/>
          </w:rPr>
          <w:t>29 Conn. L. Rev. 1411 (1997)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Nancy Morawetz, </w:t>
      </w:r>
      <w:r>
        <w:rPr>
          <w:rFonts w:ascii="arial" w:eastAsia="arial" w:hAnsi="arial" w:cs="arial"/>
          <w:b w:val="0"/>
          <w:i/>
          <w:strike w:val="0"/>
          <w:noProof w:val="0"/>
          <w:color w:val="000000"/>
          <w:position w:val="0"/>
          <w:sz w:val="18"/>
          <w:u w:val="none"/>
          <w:vertAlign w:val="baseline"/>
        </w:rPr>
        <w:t>Back to Back to the Future? Lessons Learned from Litigation Over the 1996 Restrictions on Judicial Review</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51 N.Y.L. Sch. L. Rev. 113 (2006-07)</w:t>
      </w:r>
      <w:r>
        <w:rPr>
          <w:rFonts w:ascii="arial" w:eastAsia="arial" w:hAnsi="arial" w:cs="arial"/>
          <w:b w:val="0"/>
          <w:i w:val="0"/>
          <w:strike w:val="0"/>
          <w:noProof w:val="0"/>
          <w:color w:val="000000"/>
          <w:position w:val="0"/>
          <w:sz w:val="18"/>
          <w:u w:val="none"/>
          <w:vertAlign w:val="baseline"/>
        </w:rPr>
        <w:t>.</w:t>
      </w:r>
    </w:p>
  </w:footnote>
  <w:footnote w:id="5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51 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8 U.S.C. § 1252(g)</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as added by</w:t>
      </w:r>
      <w:r>
        <w:rPr>
          <w:rFonts w:ascii="arial" w:eastAsia="arial" w:hAnsi="arial" w:cs="arial"/>
          <w:b w:val="0"/>
          <w:i w:val="0"/>
          <w:strike w:val="0"/>
          <w:noProof w:val="0"/>
          <w:color w:val="000000"/>
          <w:position w:val="0"/>
          <w:sz w:val="18"/>
          <w:u w:val="none"/>
          <w:vertAlign w:val="baseline"/>
        </w:rPr>
        <w:t xml:space="preserve"> IIRAIRA § 309(c)(4)(G).</w:t>
      </w:r>
    </w:p>
  </w:footnote>
  <w:footnote w:id="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52 </w:t>
      </w:r>
      <w:hyperlink r:id="rId74" w:history="1">
        <w:r>
          <w:rPr>
            <w:rFonts w:ascii="arial" w:eastAsia="arial" w:hAnsi="arial" w:cs="arial"/>
            <w:b w:val="0"/>
            <w:i/>
            <w:strike w:val="0"/>
            <w:noProof w:val="0"/>
            <w:color w:val="0077CC"/>
            <w:position w:val="0"/>
            <w:sz w:val="18"/>
            <w:u w:val="single"/>
            <w:shd w:val="clear" w:color="auto" w:fill="FFFFFF"/>
            <w:vertAlign w:val="baseline"/>
          </w:rPr>
          <w:t>525 U.S. 471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Hiroshi Motomura, </w:t>
      </w:r>
      <w:r>
        <w:rPr>
          <w:rFonts w:ascii="arial" w:eastAsia="arial" w:hAnsi="arial" w:cs="arial"/>
          <w:b w:val="0"/>
          <w:i/>
          <w:strike w:val="0"/>
          <w:noProof w:val="0"/>
          <w:color w:val="000000"/>
          <w:position w:val="0"/>
          <w:sz w:val="18"/>
          <w:u w:val="none"/>
          <w:vertAlign w:val="baseline"/>
        </w:rPr>
        <w:t>Judicial Review in Immigration Cases After</w:t>
      </w:r>
      <w:r>
        <w:rPr>
          <w:rFonts w:ascii="arial" w:eastAsia="arial" w:hAnsi="arial" w:cs="arial"/>
          <w:b w:val="0"/>
          <w:i w:val="0"/>
          <w:strike w:val="0"/>
          <w:noProof w:val="0"/>
          <w:color w:val="000000"/>
          <w:position w:val="0"/>
          <w:sz w:val="18"/>
          <w:u w:val="none"/>
          <w:vertAlign w:val="baseline"/>
        </w:rPr>
        <w:t xml:space="preserve"> AADC</w:t>
      </w:r>
      <w:r>
        <w:rPr>
          <w:rFonts w:ascii="arial" w:eastAsia="arial" w:hAnsi="arial" w:cs="arial"/>
          <w:b w:val="0"/>
          <w:i/>
          <w:strike w:val="0"/>
          <w:noProof w:val="0"/>
          <w:color w:val="000000"/>
          <w:position w:val="0"/>
          <w:sz w:val="18"/>
          <w:u w:val="none"/>
          <w:vertAlign w:val="baseline"/>
        </w:rPr>
        <w:t>: Lessons From Civil Procedure</w:t>
      </w:r>
      <w:r>
        <w:rPr>
          <w:rFonts w:ascii="arial" w:eastAsia="arial" w:hAnsi="arial" w:cs="arial"/>
          <w:b w:val="0"/>
          <w:i w:val="0"/>
          <w:strike w:val="0"/>
          <w:noProof w:val="0"/>
          <w:color w:val="000000"/>
          <w:position w:val="0"/>
          <w:sz w:val="18"/>
          <w:u w:val="none"/>
          <w:vertAlign w:val="baseline"/>
        </w:rPr>
        <w:t xml:space="preserve">, </w:t>
      </w:r>
      <w:hyperlink r:id="rId75" w:history="1">
        <w:r>
          <w:rPr>
            <w:rFonts w:ascii="arial" w:eastAsia="arial" w:hAnsi="arial" w:cs="arial"/>
            <w:b w:val="0"/>
            <w:i/>
            <w:strike w:val="0"/>
            <w:noProof w:val="0"/>
            <w:color w:val="0077CC"/>
            <w:position w:val="0"/>
            <w:sz w:val="18"/>
            <w:u w:val="single"/>
            <w:shd w:val="clear" w:color="auto" w:fill="FFFFFF"/>
            <w:vertAlign w:val="baseline"/>
          </w:rPr>
          <w:t>14 Geo. Immigr. L.J. 385 (2000)</w:t>
        </w:r>
      </w:hyperlink>
      <w:r>
        <w:rPr>
          <w:rFonts w:ascii="arial" w:eastAsia="arial" w:hAnsi="arial" w:cs="arial"/>
          <w:b w:val="0"/>
          <w:i w:val="0"/>
          <w:strike w:val="0"/>
          <w:noProof w:val="0"/>
          <w:color w:val="000000"/>
          <w:position w:val="0"/>
          <w:sz w:val="18"/>
          <w:u w:val="none"/>
          <w:vertAlign w:val="baseline"/>
        </w:rPr>
        <w:t xml:space="preserve">. Most courts followed the Supreme Court’s instruction and applied a narrow interpretation of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 xml:space="preserve"> in the non-</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context.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76" w:history="1">
        <w:r>
          <w:rPr>
            <w:rFonts w:ascii="arial" w:eastAsia="arial" w:hAnsi="arial" w:cs="arial"/>
            <w:b w:val="0"/>
            <w:i/>
            <w:strike w:val="0"/>
            <w:noProof w:val="0"/>
            <w:color w:val="0077CC"/>
            <w:position w:val="0"/>
            <w:sz w:val="18"/>
            <w:u w:val="single"/>
            <w:shd w:val="clear" w:color="auto" w:fill="FFFFFF"/>
            <w:vertAlign w:val="baseline"/>
          </w:rPr>
          <w:t>Tefel v. Reno, 180 F.3d 1286, 1298 (11th Cir. 1999)</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 xml:space="preserve"> does not preclude district court jurisdiction over constitutional challenge to the application of the IIRAIRA’s “stop-time” rule). For more about courts’ interpretation of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 xml:space="preserve"> in the non-</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context,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104.13[6][b]</w:t>
        </w:r>
      </w:hyperlink>
      <w:r>
        <w:rPr>
          <w:rFonts w:ascii="arial" w:eastAsia="arial" w:hAnsi="arial" w:cs="arial"/>
          <w:b w:val="0"/>
          <w:i w:val="0"/>
          <w:strike w:val="0"/>
          <w:noProof w:val="0"/>
          <w:color w:val="000000"/>
          <w:position w:val="0"/>
          <w:sz w:val="18"/>
          <w:u w:val="none"/>
          <w:vertAlign w:val="baseline"/>
        </w:rPr>
        <w:t>.</w:t>
      </w:r>
    </w:p>
  </w:footnote>
  <w:footnote w:id="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53 </w:t>
      </w:r>
      <w:hyperlink r:id="rId17" w:history="1">
        <w:r>
          <w:rPr>
            <w:rFonts w:ascii="arial" w:eastAsia="arial" w:hAnsi="arial" w:cs="arial"/>
            <w:b w:val="0"/>
            <w:i/>
            <w:strike w:val="0"/>
            <w:noProof w:val="0"/>
            <w:color w:val="0077CC"/>
            <w:position w:val="0"/>
            <w:sz w:val="18"/>
            <w:u w:val="single"/>
            <w:shd w:val="clear" w:color="auto" w:fill="FFFFFF"/>
            <w:vertAlign w:val="baseline"/>
          </w:rPr>
          <w:t>Calcano-Martinez v. INS, 533 U.S. 348 (2001)</w:t>
        </w:r>
      </w:hyperlink>
      <w:r>
        <w:rPr>
          <w:rFonts w:ascii="arial" w:eastAsia="arial" w:hAnsi="arial" w:cs="arial"/>
          <w:b w:val="0"/>
          <w:i w:val="0"/>
          <w:strike w:val="0"/>
          <w:noProof w:val="0"/>
          <w:color w:val="000000"/>
          <w:position w:val="0"/>
          <w:sz w:val="18"/>
          <w:u w:val="none"/>
          <w:vertAlign w:val="baseline"/>
        </w:rPr>
        <w:t xml:space="preserve">;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314 (2001)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Gerald Neuman, </w:t>
      </w:r>
      <w:r>
        <w:rPr>
          <w:rFonts w:ascii="arial" w:eastAsia="arial" w:hAnsi="arial" w:cs="arial"/>
          <w:b w:val="0"/>
          <w:i/>
          <w:strike w:val="0"/>
          <w:noProof w:val="0"/>
          <w:color w:val="000000"/>
          <w:position w:val="0"/>
          <w:sz w:val="18"/>
          <w:u w:val="none"/>
          <w:vertAlign w:val="baseline"/>
        </w:rPr>
        <w:t xml:space="preserve">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Corpus Suspension Clause After</w:t>
      </w:r>
      <w:r>
        <w:rPr>
          <w:rFonts w:ascii="arial" w:eastAsia="arial" w:hAnsi="arial" w:cs="arial"/>
          <w:b w:val="0"/>
          <w:i w:val="0"/>
          <w:strike w:val="0"/>
          <w:noProof w:val="0"/>
          <w:color w:val="000000"/>
          <w:position w:val="0"/>
          <w:sz w:val="18"/>
          <w:u w:val="none"/>
          <w:vertAlign w:val="baseline"/>
        </w:rPr>
        <w:t xml:space="preserve"> INS v. St. Cyr, </w:t>
      </w:r>
      <w:hyperlink r:id="rId77" w:history="1">
        <w:r>
          <w:rPr>
            <w:rFonts w:ascii="arial" w:eastAsia="arial" w:hAnsi="arial" w:cs="arial"/>
            <w:b w:val="0"/>
            <w:i/>
            <w:strike w:val="0"/>
            <w:noProof w:val="0"/>
            <w:color w:val="0077CC"/>
            <w:position w:val="0"/>
            <w:sz w:val="18"/>
            <w:u w:val="single"/>
            <w:shd w:val="clear" w:color="auto" w:fill="FFFFFF"/>
            <w:vertAlign w:val="baseline"/>
          </w:rPr>
          <w:t>33 Colum. Hum. Rts. L. Rev. 555 (2002)</w:t>
        </w:r>
      </w:hyperlink>
      <w:r>
        <w:rPr>
          <w:rFonts w:ascii="arial" w:eastAsia="arial" w:hAnsi="arial" w:cs="arial"/>
          <w:b w:val="0"/>
          <w:i w:val="0"/>
          <w:strike w:val="0"/>
          <w:noProof w:val="0"/>
          <w:color w:val="000000"/>
          <w:position w:val="0"/>
          <w:sz w:val="18"/>
          <w:u w:val="none"/>
          <w:vertAlign w:val="baseline"/>
        </w:rPr>
        <w:t>.</w:t>
      </w:r>
    </w:p>
  </w:footnote>
  <w:footnote w:id="5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54 </w:t>
      </w:r>
      <w:hyperlink r:id="rId78" w:history="1">
        <w:r>
          <w:rPr>
            <w:rFonts w:ascii="arial" w:eastAsia="arial" w:hAnsi="arial" w:cs="arial"/>
            <w:b w:val="0"/>
            <w:i/>
            <w:strike w:val="0"/>
            <w:noProof w:val="0"/>
            <w:color w:val="0077CC"/>
            <w:position w:val="0"/>
            <w:sz w:val="18"/>
            <w:u w:val="single"/>
            <w:shd w:val="clear" w:color="auto" w:fill="FFFFFF"/>
            <w:vertAlign w:val="baseline"/>
          </w:rPr>
          <w:t>St. Cyr</w:t>
        </w:r>
      </w:hyperlink>
      <w:hyperlink r:id="rId78" w:history="1">
        <w:r>
          <w:rPr>
            <w:rFonts w:ascii="arial" w:eastAsia="arial" w:hAnsi="arial" w:cs="arial"/>
            <w:b w:val="0"/>
            <w:i/>
            <w:strike w:val="0"/>
            <w:noProof w:val="0"/>
            <w:color w:val="0077CC"/>
            <w:position w:val="0"/>
            <w:sz w:val="18"/>
            <w:u w:val="single"/>
            <w:shd w:val="clear" w:color="auto" w:fill="FFFFFF"/>
            <w:vertAlign w:val="baseline"/>
          </w:rPr>
          <w:t>, 553 U.S. at 309</w:t>
        </w:r>
      </w:hyperlink>
      <w:r>
        <w:rPr>
          <w:rFonts w:ascii="arial" w:eastAsia="arial" w:hAnsi="arial" w:cs="arial"/>
          <w:b w:val="0"/>
          <w:i w:val="0"/>
          <w:strike w:val="0"/>
          <w:noProof w:val="0"/>
          <w:color w:val="000000"/>
          <w:position w:val="0"/>
          <w:sz w:val="18"/>
          <w:u w:val="none"/>
          <w:vertAlign w:val="baseline"/>
        </w:rPr>
        <w:t xml:space="preserve"> (“It seems to us, however, that the 1961 exception [in the Hobbs Act, indicating that an noncitizen held in custody pursuant to an order of deportation may obtain review by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is best explained as merely confirming the limited scope of the new review procedures. In fact, the House Report provides that this section ‘in no way disturbs 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Act.’ ” (footnote omitted)).</w:t>
      </w:r>
    </w:p>
  </w:footnote>
  <w:footnote w:id="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55 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at 310;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Paul Diller,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and (Non-)Delegation</w:t>
      </w:r>
      <w:r>
        <w:rPr>
          <w:rFonts w:ascii="arial" w:eastAsia="arial" w:hAnsi="arial" w:cs="arial"/>
          <w:b w:val="0"/>
          <w:i w:val="0"/>
          <w:strike w:val="0"/>
          <w:noProof w:val="0"/>
          <w:color w:val="000000"/>
          <w:position w:val="0"/>
          <w:sz w:val="18"/>
          <w:u w:val="none"/>
          <w:vertAlign w:val="baseline"/>
        </w:rPr>
        <w:t xml:space="preserve">, </w:t>
      </w:r>
      <w:hyperlink r:id="rId79" w:history="1">
        <w:r>
          <w:rPr>
            <w:rFonts w:ascii="arial" w:eastAsia="arial" w:hAnsi="arial" w:cs="arial"/>
            <w:b w:val="0"/>
            <w:i/>
            <w:strike w:val="0"/>
            <w:noProof w:val="0"/>
            <w:color w:val="0077CC"/>
            <w:position w:val="0"/>
            <w:sz w:val="18"/>
            <w:u w:val="single"/>
            <w:shd w:val="clear" w:color="auto" w:fill="FFFFFF"/>
            <w:vertAlign w:val="baseline"/>
          </w:rPr>
          <w:t>77 U. Chi. L. Rev. 585 (2010)</w:t>
        </w:r>
      </w:hyperlink>
      <w:r>
        <w:rPr>
          <w:rFonts w:ascii="arial" w:eastAsia="arial" w:hAnsi="arial" w:cs="arial"/>
          <w:b w:val="0"/>
          <w:i w:val="0"/>
          <w:strike w:val="0"/>
          <w:noProof w:val="0"/>
          <w:color w:val="000000"/>
          <w:position w:val="0"/>
          <w:sz w:val="18"/>
          <w:u w:val="none"/>
          <w:vertAlign w:val="baseline"/>
        </w:rPr>
        <w:t>.</w:t>
      </w:r>
    </w:p>
  </w:footnote>
  <w:footnote w:id="5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56 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80" w:history="1">
        <w:r>
          <w:rPr>
            <w:rFonts w:ascii="arial" w:eastAsia="arial" w:hAnsi="arial" w:cs="arial"/>
            <w:b w:val="0"/>
            <w:i/>
            <w:strike w:val="0"/>
            <w:noProof w:val="0"/>
            <w:color w:val="0077CC"/>
            <w:position w:val="0"/>
            <w:sz w:val="18"/>
            <w:u w:val="single"/>
            <w:shd w:val="clear" w:color="auto" w:fill="FFFFFF"/>
            <w:vertAlign w:val="baseline"/>
          </w:rPr>
          <w:t>Rankine v. Reno, 319 F.3d 93, 98 (2d Cir. 2003)</w:t>
        </w:r>
      </w:hyperlink>
      <w:r>
        <w:rPr>
          <w:rFonts w:ascii="arial" w:eastAsia="arial" w:hAnsi="arial" w:cs="arial"/>
          <w:b w:val="0"/>
          <w:i w:val="0"/>
          <w:strike w:val="0"/>
          <w:noProof w:val="0"/>
          <w:color w:val="000000"/>
          <w:position w:val="0"/>
          <w:sz w:val="18"/>
          <w:u w:val="none"/>
          <w:vertAlign w:val="baseline"/>
        </w:rPr>
        <w:t xml:space="preserve"> (“federal courts retain jurisdiction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over legal questions raised by criminal aliens in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petitions seeking review of final removal orders”); </w:t>
      </w:r>
      <w:hyperlink r:id="rId81" w:history="1">
        <w:r>
          <w:rPr>
            <w:rFonts w:ascii="arial" w:eastAsia="arial" w:hAnsi="arial" w:cs="arial"/>
            <w:b w:val="0"/>
            <w:i/>
            <w:strike w:val="0"/>
            <w:noProof w:val="0"/>
            <w:color w:val="0077CC"/>
            <w:position w:val="0"/>
            <w:sz w:val="18"/>
            <w:u w:val="single"/>
            <w:shd w:val="clear" w:color="auto" w:fill="FFFFFF"/>
            <w:vertAlign w:val="baseline"/>
          </w:rPr>
          <w:t>Riley v. INS, 310 F.3d 1253, 1256 (10th Cir. 2002)</w:t>
        </w:r>
      </w:hyperlink>
      <w:r>
        <w:rPr>
          <w:rFonts w:ascii="arial" w:eastAsia="arial" w:hAnsi="arial" w:cs="arial"/>
          <w:b w:val="0"/>
          <w:i w:val="0"/>
          <w:strike w:val="0"/>
          <w:noProof w:val="0"/>
          <w:color w:val="000000"/>
          <w:position w:val="0"/>
          <w:sz w:val="18"/>
          <w:u w:val="none"/>
          <w:vertAlign w:val="baseline"/>
        </w:rPr>
        <w:t xml:space="preserve"> (“The INS urges us in the opposite direction to decide that </w:t>
      </w:r>
      <w:r>
        <w:rPr>
          <w:rFonts w:ascii="arial" w:eastAsia="arial" w:hAnsi="arial" w:cs="arial"/>
          <w:b w:val="0"/>
          <w:i/>
          <w:strike w:val="0"/>
          <w:noProof w:val="0"/>
          <w:color w:val="000000"/>
          <w:position w:val="0"/>
          <w:sz w:val="18"/>
          <w:u w:val="none"/>
          <w:vertAlign w:val="baseline"/>
        </w:rPr>
        <w:t>St. Cyr</w:t>
      </w:r>
      <w:r>
        <w:rPr>
          <w:rFonts w:ascii="arial" w:eastAsia="arial" w:hAnsi="arial" w:cs="arial"/>
          <w:b w:val="0"/>
          <w:i w:val="0"/>
          <w:strike w:val="0"/>
          <w:noProof w:val="0"/>
          <w:color w:val="000000"/>
          <w:position w:val="0"/>
          <w:sz w:val="18"/>
          <w:u w:val="none"/>
          <w:vertAlign w:val="baseline"/>
        </w:rPr>
        <w:t xml:space="preserve"> narrowly held that there is § 2241 jurisdiction to review criminal aliens’ challenges to their final deportation orders but that it does not apply more broadly to non-criminal aliens. We cannot agree.”); </w:t>
      </w:r>
      <w:hyperlink r:id="rId82" w:history="1">
        <w:r>
          <w:rPr>
            <w:rFonts w:ascii="arial" w:eastAsia="arial" w:hAnsi="arial" w:cs="arial"/>
            <w:b w:val="0"/>
            <w:i/>
            <w:strike w:val="0"/>
            <w:noProof w:val="0"/>
            <w:color w:val="0077CC"/>
            <w:position w:val="0"/>
            <w:sz w:val="18"/>
            <w:u w:val="single"/>
            <w:shd w:val="clear" w:color="auto" w:fill="FFFFFF"/>
            <w:vertAlign w:val="baseline"/>
          </w:rPr>
          <w:t>Liu v. INS, 293 F.3d 36, 40 (2d Cir. 2002)</w:t>
        </w:r>
      </w:hyperlink>
      <w:r>
        <w:rPr>
          <w:rFonts w:ascii="arial" w:eastAsia="arial" w:hAnsi="arial" w:cs="arial"/>
          <w:b w:val="0"/>
          <w:i w:val="0"/>
          <w:strike w:val="0"/>
          <w:noProof w:val="0"/>
          <w:color w:val="000000"/>
          <w:position w:val="0"/>
          <w:sz w:val="18"/>
          <w:u w:val="none"/>
          <w:vertAlign w:val="baseline"/>
        </w:rPr>
        <w:t xml:space="preserve"> (“The Court’s decision in </w:t>
      </w:r>
      <w:r>
        <w:rPr>
          <w:rFonts w:ascii="arial" w:eastAsia="arial" w:hAnsi="arial" w:cs="arial"/>
          <w:b w:val="0"/>
          <w:i/>
          <w:strike w:val="0"/>
          <w:noProof w:val="0"/>
          <w:color w:val="000000"/>
          <w:position w:val="0"/>
          <w:sz w:val="18"/>
          <w:u w:val="none"/>
          <w:vertAlign w:val="baseline"/>
        </w:rPr>
        <w:t>St. Cyr</w:t>
      </w:r>
      <w:r>
        <w:rPr>
          <w:rFonts w:ascii="arial" w:eastAsia="arial" w:hAnsi="arial" w:cs="arial"/>
          <w:b w:val="0"/>
          <w:i w:val="0"/>
          <w:strike w:val="0"/>
          <w:noProof w:val="0"/>
          <w:color w:val="000000"/>
          <w:position w:val="0"/>
          <w:sz w:val="18"/>
          <w:u w:val="none"/>
          <w:vertAlign w:val="baseline"/>
        </w:rPr>
        <w:t xml:space="preserve"> does not suggest, expressly or implicitly, that its holding that Congress did not repeal § 2241 by any provision of AEDPA or IIRIRA applies only to criminal aliens.”); </w:t>
      </w:r>
      <w:hyperlink r:id="rId83" w:history="1">
        <w:r>
          <w:rPr>
            <w:rFonts w:ascii="arial" w:eastAsia="arial" w:hAnsi="arial" w:cs="arial"/>
            <w:b w:val="0"/>
            <w:i/>
            <w:strike w:val="0"/>
            <w:noProof w:val="0"/>
            <w:color w:val="0077CC"/>
            <w:position w:val="0"/>
            <w:sz w:val="18"/>
            <w:u w:val="single"/>
            <w:shd w:val="clear" w:color="auto" w:fill="FFFFFF"/>
            <w:vertAlign w:val="baseline"/>
          </w:rPr>
          <w:t>Chmakov v. Blackman, 266 F.3d 210, 215 (3d Cir. 2001)</w:t>
        </w:r>
      </w:hyperlink>
      <w:r>
        <w:rPr>
          <w:rFonts w:ascii="arial" w:eastAsia="arial" w:hAnsi="arial" w:cs="arial"/>
          <w:b w:val="0"/>
          <w:i w:val="0"/>
          <w:strike w:val="0"/>
          <w:noProof w:val="0"/>
          <w:color w:val="000000"/>
          <w:position w:val="0"/>
          <w:sz w:val="18"/>
          <w:u w:val="none"/>
          <w:vertAlign w:val="baseline"/>
        </w:rPr>
        <w:t xml:space="preserve"> (“Congress has preserved the right to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for both criminal and non-criminal aliens.”);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84" w:history="1">
        <w:r>
          <w:rPr>
            <w:rFonts w:ascii="arial" w:eastAsia="arial" w:hAnsi="arial" w:cs="arial"/>
            <w:b w:val="0"/>
            <w:i/>
            <w:strike w:val="0"/>
            <w:noProof w:val="0"/>
            <w:color w:val="0077CC"/>
            <w:position w:val="0"/>
            <w:sz w:val="18"/>
            <w:u w:val="single"/>
            <w:shd w:val="clear" w:color="auto" w:fill="FFFFFF"/>
            <w:vertAlign w:val="baseline"/>
          </w:rPr>
          <w:t xml:space="preserve">United States </w:t>
        </w:r>
      </w:hyperlink>
      <w:hyperlink r:id="rId84" w:history="1">
        <w:r>
          <w:rPr>
            <w:rFonts w:ascii="arial" w:eastAsia="arial" w:hAnsi="arial" w:cs="arial"/>
            <w:b w:val="0"/>
            <w:i/>
            <w:strike w:val="0"/>
            <w:noProof w:val="0"/>
            <w:color w:val="0077CC"/>
            <w:position w:val="0"/>
            <w:sz w:val="18"/>
            <w:u w:val="single"/>
            <w:shd w:val="clear" w:color="auto" w:fill="FFFFFF"/>
            <w:vertAlign w:val="baseline"/>
          </w:rPr>
          <w:t>ex rel.</w:t>
        </w:r>
      </w:hyperlink>
      <w:hyperlink r:id="rId84" w:history="1">
        <w:r>
          <w:rPr>
            <w:rFonts w:ascii="arial" w:eastAsia="arial" w:hAnsi="arial" w:cs="arial"/>
            <w:b w:val="0"/>
            <w:i/>
            <w:strike w:val="0"/>
            <w:noProof w:val="0"/>
            <w:color w:val="0077CC"/>
            <w:position w:val="0"/>
            <w:sz w:val="18"/>
            <w:u w:val="single"/>
            <w:shd w:val="clear" w:color="auto" w:fill="FFFFFF"/>
            <w:vertAlign w:val="baseline"/>
          </w:rPr>
          <w:t xml:space="preserve"> Kovalev v. Ashcroft, 223 F. Supp. 2d 688, 695 (E.D. Penn. 2002)</w:t>
        </w:r>
      </w:hyperlink>
      <w:r>
        <w:rPr>
          <w:rFonts w:ascii="arial" w:eastAsia="arial" w:hAnsi="arial" w:cs="arial"/>
          <w:b w:val="0"/>
          <w:i w:val="0"/>
          <w:strike w:val="0"/>
          <w:noProof w:val="0"/>
          <w:color w:val="000000"/>
          <w:position w:val="0"/>
          <w:sz w:val="18"/>
          <w:u w:val="none"/>
          <w:vertAlign w:val="baseline"/>
        </w:rPr>
        <w:t xml:space="preserve"> (noting that the limitation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to pure questions of law cannot be loosened for non-criminal petitioners).</w:t>
      </w:r>
    </w:p>
  </w:footnote>
  <w:footnote w:id="5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57 </w:t>
      </w:r>
      <w:r>
        <w:rPr>
          <w:rFonts w:ascii="arial" w:eastAsia="arial" w:hAnsi="arial" w:cs="arial"/>
          <w:b w:val="0"/>
          <w:i w:val="0"/>
          <w:strike w:val="0"/>
          <w:noProof w:val="0"/>
          <w:color w:val="000000"/>
          <w:position w:val="0"/>
          <w:sz w:val="18"/>
          <w:u w:val="none"/>
          <w:vertAlign w:val="baseline"/>
        </w:rPr>
        <w:t xml:space="preserve">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104.04[3][c]</w:t>
        </w:r>
      </w:hyperlink>
      <w:r>
        <w:rPr>
          <w:rFonts w:ascii="arial" w:eastAsia="arial" w:hAnsi="arial" w:cs="arial"/>
          <w:b w:val="0"/>
          <w:i w:val="0"/>
          <w:strike w:val="0"/>
          <w:noProof w:val="0"/>
          <w:color w:val="000000"/>
          <w:position w:val="0"/>
          <w:sz w:val="18"/>
          <w:u w:val="none"/>
          <w:vertAlign w:val="baseline"/>
        </w:rPr>
        <w:t xml:space="preserve"> for a discussion of the impact of the REAL ID Act on the scope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w:t>
      </w:r>
    </w:p>
  </w:footnote>
  <w:footnote w:id="5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58 </w:t>
      </w:r>
      <w:r>
        <w:rPr>
          <w:rFonts w:ascii="arial" w:eastAsia="arial" w:hAnsi="arial" w:cs="arial"/>
          <w:b w:val="0"/>
          <w:i w:val="0"/>
          <w:strike w:val="0"/>
          <w:noProof w:val="0"/>
          <w:color w:val="000000"/>
          <w:position w:val="0"/>
          <w:sz w:val="18"/>
          <w:u w:val="none"/>
          <w:vertAlign w:val="baseline"/>
        </w:rPr>
        <w:t xml:space="preserve">Division B, Emergency Supplemental Appropriations Act for Defense, the Global War on Terror, and Tsunami Relief, 2005, </w:t>
      </w:r>
      <w:r>
        <w:rPr>
          <w:rFonts w:ascii="arial" w:eastAsia="arial" w:hAnsi="arial" w:cs="arial"/>
          <w:b/>
          <w:i/>
          <w:strike w:val="0"/>
          <w:noProof w:val="0"/>
          <w:color w:val="000000"/>
          <w:position w:val="0"/>
          <w:sz w:val="18"/>
          <w:u w:val="none"/>
          <w:vertAlign w:val="baseline"/>
        </w:rPr>
        <w:t>Pub. L. No. 109-13, 119 Stat. 231</w:t>
      </w:r>
      <w:r>
        <w:rPr>
          <w:rFonts w:ascii="arial" w:eastAsia="arial" w:hAnsi="arial" w:cs="arial"/>
          <w:b w:val="0"/>
          <w:i w:val="0"/>
          <w:strike w:val="0"/>
          <w:noProof w:val="0"/>
          <w:color w:val="000000"/>
          <w:position w:val="0"/>
          <w:sz w:val="18"/>
          <w:u w:val="none"/>
          <w:vertAlign w:val="baseline"/>
        </w:rPr>
        <w:t>.</w:t>
      </w:r>
    </w:p>
  </w:footnote>
  <w:footnote w:id="5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59 </w:t>
      </w:r>
      <w:r>
        <w:rPr>
          <w:rFonts w:ascii="arial" w:eastAsia="arial" w:hAnsi="arial" w:cs="arial"/>
          <w:b w:val="0"/>
          <w:i w:val="0"/>
          <w:strike w:val="0"/>
          <w:noProof w:val="0"/>
          <w:color w:val="000000"/>
          <w:position w:val="0"/>
          <w:sz w:val="18"/>
          <w:u w:val="none"/>
          <w:vertAlign w:val="baseline"/>
        </w:rPr>
        <w:t>151 Cong. Rec. H2813, H2872 (daily ed. May 3, 2005).</w:t>
      </w:r>
    </w:p>
  </w:footnote>
  <w:footnote w:id="6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60 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at H2873.</w:t>
      </w:r>
    </w:p>
  </w:footnote>
  <w:footnote w:id="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61 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298 (2001)</w:t>
        </w:r>
      </w:hyperlink>
      <w:r>
        <w:rPr>
          <w:rFonts w:ascii="arial" w:eastAsia="arial" w:hAnsi="arial" w:cs="arial"/>
          <w:b w:val="0"/>
          <w:i w:val="0"/>
          <w:strike w:val="0"/>
          <w:noProof w:val="0"/>
          <w:color w:val="000000"/>
          <w:position w:val="0"/>
          <w:sz w:val="18"/>
          <w:u w:val="none"/>
          <w:vertAlign w:val="baseline"/>
        </w:rPr>
        <w:t>.</w:t>
      </w:r>
    </w:p>
  </w:footnote>
  <w:footnote w:id="6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62 </w:t>
      </w:r>
      <w:hyperlink r:id="rId18"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xml:space="preserve"> at 314</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85" w:history="1">
        <w:r>
          <w:rPr>
            <w:rFonts w:ascii="arial" w:eastAsia="arial" w:hAnsi="arial" w:cs="arial"/>
            <w:b w:val="0"/>
            <w:i/>
            <w:strike w:val="0"/>
            <w:noProof w:val="0"/>
            <w:color w:val="0077CC"/>
            <w:position w:val="0"/>
            <w:sz w:val="18"/>
            <w:u w:val="single"/>
            <w:shd w:val="clear" w:color="auto" w:fill="FFFFFF"/>
            <w:vertAlign w:val="baseline"/>
          </w:rPr>
          <w:t>Liang v. INS, 206 F.3d 308, 321 (3d Cir. 2000)</w:t>
        </w:r>
      </w:hyperlink>
      <w:r>
        <w:rPr>
          <w:rFonts w:ascii="arial" w:eastAsia="arial" w:hAnsi="arial" w:cs="arial"/>
          <w:b w:val="0"/>
          <w:i w:val="0"/>
          <w:strike w:val="0"/>
          <w:noProof w:val="0"/>
          <w:color w:val="000000"/>
          <w:position w:val="0"/>
          <w:sz w:val="18"/>
          <w:u w:val="none"/>
          <w:vertAlign w:val="baseline"/>
        </w:rPr>
        <w:t xml:space="preserve"> (“Congress may divest the district courts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without violating the Suspension Clause so long as it substitutes ‘a collateral remedy which is neither inadequate nor ineffective to test the legality of a person’s detention.’ ”) (quoting </w:t>
      </w:r>
      <w:hyperlink r:id="rId9" w:history="1">
        <w:r>
          <w:rPr>
            <w:rFonts w:ascii="arial" w:eastAsia="arial" w:hAnsi="arial" w:cs="arial"/>
            <w:b w:val="0"/>
            <w:i/>
            <w:strike w:val="0"/>
            <w:noProof w:val="0"/>
            <w:color w:val="0077CC"/>
            <w:position w:val="0"/>
            <w:sz w:val="18"/>
            <w:u w:val="single"/>
            <w:shd w:val="clear" w:color="auto" w:fill="FFFFFF"/>
            <w:vertAlign w:val="baseline"/>
          </w:rPr>
          <w:t>Swain v. Pressley, 430 U.S. 372, 381 (1977))</w:t>
        </w:r>
      </w:hyperlink>
      <w:r>
        <w:rPr>
          <w:rFonts w:ascii="arial" w:eastAsia="arial" w:hAnsi="arial" w:cs="arial"/>
          <w:b w:val="0"/>
          <w:i w:val="0"/>
          <w:strike w:val="0"/>
          <w:noProof w:val="0"/>
          <w:color w:val="000000"/>
          <w:position w:val="0"/>
          <w:sz w:val="18"/>
          <w:u w:val="none"/>
          <w:vertAlign w:val="baseline"/>
        </w:rPr>
        <w:t>.</w:t>
      </w:r>
    </w:p>
  </w:footnote>
  <w:footnote w:id="6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63 </w:t>
      </w:r>
      <w:r>
        <w:rPr>
          <w:rFonts w:ascii="arial" w:eastAsia="arial" w:hAnsi="arial" w:cs="arial"/>
          <w:b w:val="0"/>
          <w:i w:val="0"/>
          <w:strike w:val="0"/>
          <w:noProof w:val="0"/>
          <w:color w:val="000000"/>
          <w:position w:val="0"/>
          <w:sz w:val="18"/>
          <w:u w:val="none"/>
          <w:vertAlign w:val="baseline"/>
        </w:rPr>
        <w:t xml:space="preserve">Recall that in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533 U.S. 289, 314 (2001)</w:t>
        </w:r>
      </w:hyperlink>
      <w:r>
        <w:rPr>
          <w:rFonts w:ascii="arial" w:eastAsia="arial" w:hAnsi="arial" w:cs="arial"/>
          <w:b w:val="0"/>
          <w:i w:val="0"/>
          <w:strike w:val="0"/>
          <w:noProof w:val="0"/>
          <w:color w:val="000000"/>
          <w:position w:val="0"/>
          <w:sz w:val="18"/>
          <w:u w:val="none"/>
          <w:vertAlign w:val="baseline"/>
        </w:rPr>
        <w:t xml:space="preserve">, the Supreme Court specifically held that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relief survived the AEDPA and IIRAIRA.</w:t>
      </w:r>
    </w:p>
  </w:footnote>
  <w:footnote w:id="6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64 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REAL ID Act § 106(b) (concerning the Act’s effective date).</w:t>
      </w:r>
    </w:p>
  </w:footnote>
  <w:footnote w:id="6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65 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86" w:history="1">
        <w:r>
          <w:rPr>
            <w:rFonts w:ascii="arial" w:eastAsia="arial" w:hAnsi="arial" w:cs="arial"/>
            <w:b w:val="0"/>
            <w:i/>
            <w:strike w:val="0"/>
            <w:noProof w:val="0"/>
            <w:color w:val="0077CC"/>
            <w:position w:val="0"/>
            <w:sz w:val="18"/>
            <w:u w:val="single"/>
            <w:shd w:val="clear" w:color="auto" w:fill="FFFFFF"/>
            <w:vertAlign w:val="baseline"/>
          </w:rPr>
          <w:t>Bonhometre v. Gonzales, 414 F.3d 442, 446 n.4 (3d Cir. 2005)</w:t>
        </w:r>
      </w:hyperlink>
      <w:r>
        <w:rPr>
          <w:rFonts w:ascii="arial" w:eastAsia="arial" w:hAnsi="arial" w:cs="arial"/>
          <w:b w:val="0"/>
          <w:i w:val="0"/>
          <w:strike w:val="0"/>
          <w:noProof w:val="0"/>
          <w:color w:val="000000"/>
          <w:position w:val="0"/>
          <w:sz w:val="18"/>
          <w:u w:val="none"/>
          <w:vertAlign w:val="baseline"/>
        </w:rPr>
        <w:t xml:space="preserve"> (“This provision [REAL ID § 106] applies only to aliens who are challenging an order of removal via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An alien challenging the legality of his </w:t>
      </w:r>
      <w:r>
        <w:rPr>
          <w:rFonts w:ascii="arial" w:eastAsia="arial" w:hAnsi="arial" w:cs="arial"/>
          <w:b w:val="0"/>
          <w:i/>
          <w:strike w:val="0"/>
          <w:noProof w:val="0"/>
          <w:color w:val="000000"/>
          <w:position w:val="0"/>
          <w:sz w:val="18"/>
          <w:u w:val="none"/>
          <w:vertAlign w:val="baseline"/>
        </w:rPr>
        <w:t>detention</w:t>
      </w:r>
      <w:r>
        <w:rPr>
          <w:rFonts w:ascii="arial" w:eastAsia="arial" w:hAnsi="arial" w:cs="arial"/>
          <w:b w:val="0"/>
          <w:i w:val="0"/>
          <w:strike w:val="0"/>
          <w:noProof w:val="0"/>
          <w:color w:val="000000"/>
          <w:position w:val="0"/>
          <w:sz w:val="18"/>
          <w:u w:val="none"/>
          <w:vertAlign w:val="baseline"/>
        </w:rPr>
        <w:t xml:space="preserve"> still may petition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(emphasis in original).</w:t>
      </w:r>
    </w:p>
  </w:footnote>
  <w:footnote w:id="6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66 </w:t>
      </w:r>
      <w:r>
        <w:rPr>
          <w:rFonts w:ascii="arial" w:eastAsia="arial" w:hAnsi="arial" w:cs="arial"/>
          <w:b w:val="0"/>
          <w:i w:val="0"/>
          <w:strike w:val="0"/>
          <w:noProof w:val="0"/>
          <w:color w:val="000000"/>
          <w:position w:val="0"/>
          <w:sz w:val="18"/>
          <w:u w:val="none"/>
          <w:vertAlign w:val="baseline"/>
        </w:rPr>
        <w:t xml:space="preserve">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104.04[3][c]</w:t>
        </w:r>
      </w:hyperlink>
      <w:r>
        <w:rPr>
          <w:rFonts w:ascii="arial" w:eastAsia="arial" w:hAnsi="arial" w:cs="arial"/>
          <w:b w:val="0"/>
          <w:i w:val="0"/>
          <w:strike w:val="0"/>
          <w:noProof w:val="0"/>
          <w:color w:val="000000"/>
          <w:position w:val="0"/>
          <w:sz w:val="18"/>
          <w:u w:val="none"/>
          <w:vertAlign w:val="baseline"/>
        </w:rPr>
        <w:t xml:space="preserve"> for a discussion of the scope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after the REAL ID Act.</w:t>
      </w:r>
    </w:p>
  </w:footnote>
  <w:footnote w:id="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67 </w:t>
      </w:r>
      <w:r>
        <w:rPr>
          <w:rFonts w:ascii="arial" w:eastAsia="arial" w:hAnsi="arial" w:cs="arial"/>
          <w:b w:val="0"/>
          <w:i w:val="0"/>
          <w:strike w:val="0"/>
          <w:noProof w:val="0"/>
          <w:color w:val="000000"/>
          <w:position w:val="0"/>
          <w:sz w:val="18"/>
          <w:u w:val="none"/>
          <w:vertAlign w:val="baseline"/>
        </w:rPr>
        <w:t xml:space="preserve">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87" w:history="1">
        <w:r>
          <w:rPr>
            <w:rFonts w:ascii="arial" w:eastAsia="arial" w:hAnsi="arial" w:cs="arial"/>
            <w:b w:val="0"/>
            <w:i/>
            <w:strike w:val="0"/>
            <w:noProof w:val="0"/>
            <w:color w:val="0077CC"/>
            <w:position w:val="0"/>
            <w:sz w:val="18"/>
            <w:u w:val="single"/>
            <w:shd w:val="clear" w:color="auto" w:fill="FFFFFF"/>
            <w:vertAlign w:val="baseline"/>
          </w:rPr>
          <w:t>§ 33.10</w:t>
        </w:r>
      </w:hyperlink>
      <w:r>
        <w:rPr>
          <w:rFonts w:ascii="arial" w:eastAsia="arial" w:hAnsi="arial" w:cs="arial"/>
          <w:b w:val="0"/>
          <w:i w:val="0"/>
          <w:strike w:val="0"/>
          <w:noProof w:val="0"/>
          <w:color w:val="000000"/>
          <w:position w:val="0"/>
          <w:sz w:val="18"/>
          <w:u w:val="none"/>
          <w:vertAlign w:val="baseline"/>
        </w:rPr>
        <w:t xml:space="preserve"> for a general discussion of relief under the CAT provisions.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88" w:history="1">
        <w:r>
          <w:rPr>
            <w:rFonts w:ascii="arial" w:eastAsia="arial" w:hAnsi="arial" w:cs="arial"/>
            <w:b w:val="0"/>
            <w:i/>
            <w:strike w:val="0"/>
            <w:noProof w:val="0"/>
            <w:color w:val="0077CC"/>
            <w:position w:val="0"/>
            <w:sz w:val="18"/>
            <w:u w:val="single"/>
            <w:shd w:val="clear" w:color="auto" w:fill="FFFFFF"/>
            <w:vertAlign w:val="baseline"/>
          </w:rPr>
          <w:t>Khouzam v. Att’y Gen., 549 F.3d 235</w:t>
        </w:r>
      </w:hyperlink>
      <w:r>
        <w:rPr>
          <w:rFonts w:ascii="arial" w:eastAsia="arial" w:hAnsi="arial" w:cs="arial"/>
          <w:b w:val="0"/>
          <w:i w:val="0"/>
          <w:strike w:val="0"/>
          <w:noProof w:val="0"/>
          <w:color w:val="000000"/>
          <w:position w:val="0"/>
          <w:sz w:val="18"/>
          <w:u w:val="none"/>
          <w:vertAlign w:val="baseline"/>
        </w:rPr>
        <w:t xml:space="preserve"> (3d Cir. 2008 (no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of termination of CAT deferral of removal, as final order can be reviewed only in circuit court); </w:t>
      </w:r>
      <w:hyperlink r:id="rId89" w:history="1">
        <w:r>
          <w:rPr>
            <w:rFonts w:ascii="arial" w:eastAsia="arial" w:hAnsi="arial" w:cs="arial"/>
            <w:b w:val="0"/>
            <w:i/>
            <w:strike w:val="0"/>
            <w:noProof w:val="0"/>
            <w:color w:val="0077CC"/>
            <w:position w:val="0"/>
            <w:sz w:val="18"/>
            <w:u w:val="single"/>
            <w:shd w:val="clear" w:color="auto" w:fill="FFFFFF"/>
            <w:vertAlign w:val="baseline"/>
          </w:rPr>
          <w:t>Hanan v. Gonzales, 449 F.3d 834 (8th Cir. 2006)</w:t>
        </w:r>
      </w:hyperlink>
      <w:r>
        <w:rPr>
          <w:rFonts w:ascii="arial" w:eastAsia="arial" w:hAnsi="arial" w:cs="arial"/>
          <w:b w:val="0"/>
          <w:i w:val="0"/>
          <w:strike w:val="0"/>
          <w:noProof w:val="0"/>
          <w:color w:val="000000"/>
          <w:position w:val="0"/>
          <w:sz w:val="18"/>
          <w:u w:val="none"/>
          <w:vertAlign w:val="baseline"/>
        </w:rPr>
        <w:t xml:space="preserve"> (no review of CAT claim factual issues even though transferred to circuit court); </w:t>
      </w:r>
      <w:hyperlink r:id="rId90" w:history="1">
        <w:r>
          <w:rPr>
            <w:rFonts w:ascii="arial" w:eastAsia="arial" w:hAnsi="arial" w:cs="arial"/>
            <w:b w:val="0"/>
            <w:i/>
            <w:strike w:val="0"/>
            <w:noProof w:val="0"/>
            <w:color w:val="0077CC"/>
            <w:position w:val="0"/>
            <w:sz w:val="18"/>
            <w:u w:val="single"/>
            <w:shd w:val="clear" w:color="auto" w:fill="FFFFFF"/>
            <w:vertAlign w:val="baseline"/>
          </w:rPr>
          <w:t>Dorisme v. Gonzales, 410 F. Supp. 2d 79 (D. Conn. 2006)</w:t>
        </w:r>
      </w:hyperlink>
      <w:r>
        <w:rPr>
          <w:rFonts w:ascii="arial" w:eastAsia="arial" w:hAnsi="arial" w:cs="arial"/>
          <w:b w:val="0"/>
          <w:i w:val="0"/>
          <w:strike w:val="0"/>
          <w:noProof w:val="0"/>
          <w:color w:val="000000"/>
          <w:position w:val="0"/>
          <w:sz w:val="18"/>
          <w:u w:val="none"/>
          <w:vertAlign w:val="baseline"/>
        </w:rPr>
        <w:t xml:space="preserve"> (transfer of CAT claim); </w:t>
      </w:r>
      <w:hyperlink r:id="rId91" w:history="1">
        <w:r>
          <w:rPr>
            <w:rFonts w:ascii="arial" w:eastAsia="arial" w:hAnsi="arial" w:cs="arial"/>
            <w:b w:val="0"/>
            <w:i/>
            <w:strike w:val="0"/>
            <w:noProof w:val="0"/>
            <w:color w:val="0077CC"/>
            <w:position w:val="0"/>
            <w:sz w:val="18"/>
            <w:u w:val="single"/>
            <w:shd w:val="clear" w:color="auto" w:fill="FFFFFF"/>
            <w:vertAlign w:val="baseline"/>
          </w:rPr>
          <w:t>Trinidad y Garcia v. Thomas, 683 F.3d 952, 955–56 (9th Cir. 2012)</w:t>
        </w:r>
      </w:hyperlink>
      <w:r>
        <w:rPr>
          <w:rFonts w:ascii="arial" w:eastAsia="arial" w:hAnsi="arial" w:cs="arial"/>
          <w:b w:val="0"/>
          <w:i w:val="0"/>
          <w:strike w:val="0"/>
          <w:noProof w:val="0"/>
          <w:color w:val="000000"/>
          <w:position w:val="0"/>
          <w:sz w:val="18"/>
          <w:u w:val="none"/>
          <w:vertAlign w:val="baseline"/>
        </w:rPr>
        <w:t xml:space="preserve"> (REAL ID Act did not “repeal[] all federal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over Trinidad y Garcia’s [CAT and due process] claims”).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92" w:history="1">
        <w:r>
          <w:rPr>
            <w:rFonts w:ascii="arial" w:eastAsia="arial" w:hAnsi="arial" w:cs="arial"/>
            <w:b w:val="0"/>
            <w:i/>
            <w:strike w:val="0"/>
            <w:noProof w:val="0"/>
            <w:color w:val="0077CC"/>
            <w:position w:val="0"/>
            <w:sz w:val="18"/>
            <w:u w:val="single"/>
            <w:shd w:val="clear" w:color="auto" w:fill="FFFFFF"/>
            <w:vertAlign w:val="baseline"/>
          </w:rPr>
          <w:t>Kamara v. Att’y Gen., 420 F.3d 202 (3d Cir. 2005)</w:t>
        </w:r>
      </w:hyperlink>
      <w:r>
        <w:rPr>
          <w:rFonts w:ascii="arial" w:eastAsia="arial" w:hAnsi="arial" w:cs="arial"/>
          <w:b w:val="0"/>
          <w:i w:val="0"/>
          <w:strike w:val="0"/>
          <w:noProof w:val="0"/>
          <w:color w:val="000000"/>
          <w:position w:val="0"/>
          <w:sz w:val="18"/>
          <w:u w:val="none"/>
          <w:vertAlign w:val="baseline"/>
        </w:rPr>
        <w:t xml:space="preserve"> (review of CAT claim proof issues as review of proper application of law to facts).</w:t>
      </w:r>
    </w:p>
  </w:footnote>
  <w:footnote w:id="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68 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311 (2001)</w:t>
        </w:r>
      </w:hyperlink>
      <w:r>
        <w:rPr>
          <w:rFonts w:ascii="arial" w:eastAsia="arial" w:hAnsi="arial" w:cs="arial"/>
          <w:b w:val="0"/>
          <w:i w:val="0"/>
          <w:strike w:val="0"/>
          <w:noProof w:val="0"/>
          <w:color w:val="000000"/>
          <w:position w:val="0"/>
          <w:sz w:val="18"/>
          <w:u w:val="none"/>
          <w:vertAlign w:val="baseline"/>
        </w:rPr>
        <w:t xml:space="preserve"> (citing </w:t>
      </w:r>
      <w:hyperlink r:id="rId45" w:history="1">
        <w:r>
          <w:rPr>
            <w:rFonts w:ascii="arial" w:eastAsia="arial" w:hAnsi="arial" w:cs="arial"/>
            <w:b w:val="0"/>
            <w:i/>
            <w:strike w:val="0"/>
            <w:noProof w:val="0"/>
            <w:color w:val="0077CC"/>
            <w:position w:val="0"/>
            <w:sz w:val="18"/>
            <w:u w:val="single"/>
            <w:shd w:val="clear" w:color="auto" w:fill="FFFFFF"/>
            <w:vertAlign w:val="baseline"/>
          </w:rPr>
          <w:t>Heikkila v. Barber, 345 U.S. 229 (1953))</w:t>
        </w:r>
      </w:hyperlink>
      <w:r>
        <w:rPr>
          <w:rFonts w:ascii="arial" w:eastAsia="arial" w:hAnsi="arial" w:cs="arial"/>
          <w:b w:val="0"/>
          <w:i w:val="0"/>
          <w:strike w:val="0"/>
          <w:noProof w:val="0"/>
          <w:color w:val="000000"/>
          <w:position w:val="0"/>
          <w:sz w:val="18"/>
          <w:u w:val="none"/>
          <w:vertAlign w:val="baseline"/>
        </w:rPr>
        <w:t>.</w:t>
      </w:r>
    </w:p>
  </w:footnote>
  <w:footnote w:id="6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69 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151 Cong. Rec. H2813, H2872-73 (daily ed. May 3, 2005) (arguing that limiting 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rights of noncitizens is constitutional so long as an adequate substitute is put in their place).</w:t>
      </w:r>
    </w:p>
  </w:footnote>
  <w:footnote w:id="7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70 </w:t>
      </w:r>
      <w:r>
        <w:rPr>
          <w:rFonts w:ascii="arial" w:eastAsia="arial" w:hAnsi="arial" w:cs="arial"/>
          <w:b w:val="0"/>
          <w:i w:val="0"/>
          <w:strike w:val="0"/>
          <w:noProof w:val="0"/>
          <w:color w:val="000000"/>
          <w:position w:val="0"/>
          <w:sz w:val="18"/>
          <w:u w:val="none"/>
          <w:vertAlign w:val="baseline"/>
        </w:rPr>
        <w:t xml:space="preserve">Federal circuit courts undisputedly have jurisdiction to determination their own jurisdiction and have always been free to evaluate whether a petitioner’s convictions were qualifying offenses for the purpose of these jurisdictional bars.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93" w:history="1">
        <w:r>
          <w:rPr>
            <w:rFonts w:ascii="arial" w:eastAsia="arial" w:hAnsi="arial" w:cs="arial"/>
            <w:b w:val="0"/>
            <w:i/>
            <w:strike w:val="0"/>
            <w:noProof w:val="0"/>
            <w:color w:val="0077CC"/>
            <w:position w:val="0"/>
            <w:sz w:val="18"/>
            <w:u w:val="single"/>
            <w:shd w:val="clear" w:color="auto" w:fill="FFFFFF"/>
            <w:vertAlign w:val="baseline"/>
          </w:rPr>
          <w:t>Ramirez v. Lynch, 810 F.3d 1127, 1130 (9th Cir. 2016)</w:t>
        </w:r>
      </w:hyperlink>
      <w:r>
        <w:rPr>
          <w:rFonts w:ascii="arial" w:eastAsia="arial" w:hAnsi="arial" w:cs="arial"/>
          <w:b w:val="0"/>
          <w:i w:val="0"/>
          <w:strike w:val="0"/>
          <w:noProof w:val="0"/>
          <w:color w:val="000000"/>
          <w:position w:val="0"/>
          <w:sz w:val="18"/>
          <w:u w:val="none"/>
          <w:vertAlign w:val="baseline"/>
        </w:rPr>
        <w:t xml:space="preserve"> (“Although we lack jurisdiction to review the final orders of removal of aliens convicted of certain crimes, </w:t>
      </w:r>
      <w:hyperlink r:id="rId71" w:history="1">
        <w:r>
          <w:rPr>
            <w:rFonts w:ascii="arial" w:eastAsia="arial" w:hAnsi="arial" w:cs="arial"/>
            <w:b w:val="0"/>
            <w:i/>
            <w:strike w:val="0"/>
            <w:noProof w:val="0"/>
            <w:color w:val="0077CC"/>
            <w:position w:val="0"/>
            <w:sz w:val="18"/>
            <w:u w:val="single"/>
            <w:shd w:val="clear" w:color="auto" w:fill="FFFFFF"/>
            <w:vertAlign w:val="baseline"/>
          </w:rPr>
          <w:t>8 U.S.C. § 1252(a)(2)(C)</w:t>
        </w:r>
      </w:hyperlink>
      <w:r>
        <w:rPr>
          <w:rFonts w:ascii="arial" w:eastAsia="arial" w:hAnsi="arial" w:cs="arial"/>
          <w:b w:val="0"/>
          <w:i w:val="0"/>
          <w:strike w:val="0"/>
          <w:noProof w:val="0"/>
          <w:color w:val="000000"/>
          <w:position w:val="0"/>
          <w:sz w:val="18"/>
          <w:u w:val="none"/>
          <w:vertAlign w:val="baseline"/>
        </w:rPr>
        <w:t xml:space="preserve">, we retain jurisdiction to determine our own jurisdiction.”); </w:t>
      </w:r>
      <w:hyperlink r:id="rId94" w:history="1">
        <w:r>
          <w:rPr>
            <w:rFonts w:ascii="arial" w:eastAsia="arial" w:hAnsi="arial" w:cs="arial"/>
            <w:b w:val="0"/>
            <w:i/>
            <w:strike w:val="0"/>
            <w:noProof w:val="0"/>
            <w:color w:val="0077CC"/>
            <w:position w:val="0"/>
            <w:sz w:val="18"/>
            <w:u w:val="single"/>
            <w:shd w:val="clear" w:color="auto" w:fill="FFFFFF"/>
            <w:vertAlign w:val="baseline"/>
          </w:rPr>
          <w:t>Elia v. Gonzales, 418 F.3d 667, 672 n.5 (6th Cir. 2005)</w:t>
        </w:r>
      </w:hyperlink>
      <w:r>
        <w:rPr>
          <w:rFonts w:ascii="arial" w:eastAsia="arial" w:hAnsi="arial" w:cs="arial"/>
          <w:b w:val="0"/>
          <w:i w:val="0"/>
          <w:strike w:val="0"/>
          <w:noProof w:val="0"/>
          <w:color w:val="000000"/>
          <w:position w:val="0"/>
          <w:sz w:val="18"/>
          <w:u w:val="none"/>
          <w:vertAlign w:val="baseline"/>
        </w:rPr>
        <w:t xml:space="preserve"> (“The [REAL ID Act] restores direct review of constitutional and legal grounds for objecting to an order of deportation or removal against an aggravated felon … .”),</w:t>
      </w:r>
      <w:r>
        <w:rPr>
          <w:rFonts w:ascii="arial" w:eastAsia="arial" w:hAnsi="arial" w:cs="arial"/>
          <w:b w:val="0"/>
          <w:i/>
          <w:strike w:val="0"/>
          <w:noProof w:val="0"/>
          <w:color w:val="000000"/>
          <w:position w:val="0"/>
          <w:sz w:val="18"/>
          <w:u w:val="none"/>
          <w:vertAlign w:val="baseline"/>
        </w:rPr>
        <w:t xml:space="preserve"> amended</w:t>
      </w:r>
      <w:r>
        <w:rPr>
          <w:rFonts w:ascii="arial" w:eastAsia="arial" w:hAnsi="arial" w:cs="arial"/>
          <w:b w:val="0"/>
          <w:i w:val="0"/>
          <w:strike w:val="0"/>
          <w:noProof w:val="0"/>
          <w:color w:val="000000"/>
          <w:position w:val="0"/>
          <w:sz w:val="18"/>
          <w:u w:val="none"/>
          <w:vertAlign w:val="baseline"/>
        </w:rPr>
        <w:t xml:space="preserve">, </w:t>
      </w:r>
      <w:hyperlink r:id="rId95" w:history="1">
        <w:r>
          <w:rPr>
            <w:rFonts w:ascii="arial" w:eastAsia="arial" w:hAnsi="arial" w:cs="arial"/>
            <w:b w:val="0"/>
            <w:i/>
            <w:strike w:val="0"/>
            <w:noProof w:val="0"/>
            <w:color w:val="0077CC"/>
            <w:position w:val="0"/>
            <w:sz w:val="18"/>
            <w:u w:val="single"/>
            <w:shd w:val="clear" w:color="auto" w:fill="FFFFFF"/>
            <w:vertAlign w:val="baseline"/>
          </w:rPr>
          <w:t>431 F.3d 268 (6th Cir. 2005)</w:t>
        </w:r>
      </w:hyperlink>
      <w:r>
        <w:rPr>
          <w:rFonts w:ascii="arial" w:eastAsia="arial" w:hAnsi="arial" w:cs="arial"/>
          <w:b w:val="0"/>
          <w:i w:val="0"/>
          <w:strike w:val="0"/>
          <w:noProof w:val="0"/>
          <w:color w:val="000000"/>
          <w:position w:val="0"/>
          <w:sz w:val="18"/>
          <w:u w:val="none"/>
          <w:vertAlign w:val="baseline"/>
        </w:rPr>
        <w:t xml:space="preserve">; </w:t>
      </w:r>
      <w:hyperlink r:id="rId96" w:history="1">
        <w:r>
          <w:rPr>
            <w:rFonts w:ascii="arial" w:eastAsia="arial" w:hAnsi="arial" w:cs="arial"/>
            <w:b w:val="0"/>
            <w:i/>
            <w:strike w:val="0"/>
            <w:noProof w:val="0"/>
            <w:color w:val="0077CC"/>
            <w:position w:val="0"/>
            <w:sz w:val="18"/>
            <w:u w:val="single"/>
            <w:shd w:val="clear" w:color="auto" w:fill="FFFFFF"/>
            <w:vertAlign w:val="baseline"/>
          </w:rPr>
          <w:t>Ramos v. Gonzales, 414 F.3d 800, 804 (7th Cir. 2005)</w:t>
        </w:r>
      </w:hyperlink>
      <w:r>
        <w:rPr>
          <w:rFonts w:ascii="arial" w:eastAsia="arial" w:hAnsi="arial" w:cs="arial"/>
          <w:b w:val="0"/>
          <w:i w:val="0"/>
          <w:strike w:val="0"/>
          <w:noProof w:val="0"/>
          <w:color w:val="000000"/>
          <w:position w:val="0"/>
          <w:sz w:val="18"/>
          <w:u w:val="none"/>
          <w:vertAlign w:val="baseline"/>
        </w:rPr>
        <w:t xml:space="preserve"> (“Our ability to reach these arguments was limited before the passage of the REAL ID Act.”); </w:t>
      </w:r>
      <w:hyperlink r:id="rId86" w:history="1">
        <w:r>
          <w:rPr>
            <w:rFonts w:ascii="arial" w:eastAsia="arial" w:hAnsi="arial" w:cs="arial"/>
            <w:b w:val="0"/>
            <w:i/>
            <w:strike w:val="0"/>
            <w:noProof w:val="0"/>
            <w:color w:val="0077CC"/>
            <w:position w:val="0"/>
            <w:sz w:val="18"/>
            <w:u w:val="single"/>
            <w:shd w:val="clear" w:color="auto" w:fill="FFFFFF"/>
            <w:vertAlign w:val="baseline"/>
          </w:rPr>
          <w:t>Bonhometre v. Gonzales, 414 F.3d 442, 445 (3d Cir. 2005)</w:t>
        </w:r>
      </w:hyperlink>
      <w:r>
        <w:rPr>
          <w:rFonts w:ascii="arial" w:eastAsia="arial" w:hAnsi="arial" w:cs="arial"/>
          <w:b w:val="0"/>
          <w:i w:val="0"/>
          <w:strike w:val="0"/>
          <w:noProof w:val="0"/>
          <w:color w:val="000000"/>
          <w:position w:val="0"/>
          <w:sz w:val="18"/>
          <w:u w:val="none"/>
          <w:vertAlign w:val="baseline"/>
        </w:rPr>
        <w:t xml:space="preserve"> (“[W]e now have the authority to consider constitutional claims or questions of law raised in a criminal alien’s petition for review.” (citing </w:t>
      </w:r>
      <w:hyperlink r:id="rId97" w:history="1">
        <w:r>
          <w:rPr>
            <w:rFonts w:ascii="arial" w:eastAsia="arial" w:hAnsi="arial" w:cs="arial"/>
            <w:b w:val="0"/>
            <w:i/>
            <w:strike w:val="0"/>
            <w:noProof w:val="0"/>
            <w:color w:val="0077CC"/>
            <w:position w:val="0"/>
            <w:sz w:val="18"/>
            <w:u w:val="single"/>
            <w:shd w:val="clear" w:color="auto" w:fill="FFFFFF"/>
            <w:vertAlign w:val="baseline"/>
          </w:rPr>
          <w:t>8 U.S.C. § 1225(b)</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as amended by</w:t>
      </w:r>
      <w:r>
        <w:rPr>
          <w:rFonts w:ascii="arial" w:eastAsia="arial" w:hAnsi="arial" w:cs="arial"/>
          <w:b w:val="0"/>
          <w:i w:val="0"/>
          <w:strike w:val="0"/>
          <w:noProof w:val="0"/>
          <w:color w:val="000000"/>
          <w:position w:val="0"/>
          <w:sz w:val="18"/>
          <w:u w:val="none"/>
          <w:vertAlign w:val="baseline"/>
        </w:rPr>
        <w:t xml:space="preserve"> REAL ID Act)); </w:t>
      </w:r>
      <w:hyperlink r:id="rId98" w:history="1">
        <w:r>
          <w:rPr>
            <w:rFonts w:ascii="arial" w:eastAsia="arial" w:hAnsi="arial" w:cs="arial"/>
            <w:b w:val="0"/>
            <w:i/>
            <w:strike w:val="0"/>
            <w:noProof w:val="0"/>
            <w:color w:val="0077CC"/>
            <w:position w:val="0"/>
            <w:sz w:val="18"/>
            <w:u w:val="single"/>
            <w:shd w:val="clear" w:color="auto" w:fill="FFFFFF"/>
            <w:vertAlign w:val="baseline"/>
          </w:rPr>
          <w:t>Fernandez-Ruiz v. Gonzales, 410 F.3d 585, 587 (9th Cir. 2005)</w:t>
        </w:r>
      </w:hyperlink>
      <w:r>
        <w:rPr>
          <w:rFonts w:ascii="arial" w:eastAsia="arial" w:hAnsi="arial" w:cs="arial"/>
          <w:b w:val="0"/>
          <w:i w:val="0"/>
          <w:strike w:val="0"/>
          <w:noProof w:val="0"/>
          <w:color w:val="000000"/>
          <w:position w:val="0"/>
          <w:sz w:val="18"/>
          <w:u w:val="none"/>
          <w:vertAlign w:val="baseline"/>
        </w:rPr>
        <w:t xml:space="preserve"> (“we are no longer barred … from reviewing Fernandez-Ruiz’s petition on account of his past convictions”), </w:t>
      </w:r>
      <w:r>
        <w:rPr>
          <w:rFonts w:ascii="arial" w:eastAsia="arial" w:hAnsi="arial" w:cs="arial"/>
          <w:b w:val="0"/>
          <w:i/>
          <w:strike w:val="0"/>
          <w:noProof w:val="0"/>
          <w:color w:val="000000"/>
          <w:position w:val="0"/>
          <w:sz w:val="18"/>
          <w:u w:val="none"/>
          <w:vertAlign w:val="baseline"/>
        </w:rPr>
        <w:t>rev’d in part and remanded on other grounds</w:t>
      </w:r>
      <w:r>
        <w:rPr>
          <w:rFonts w:ascii="arial" w:eastAsia="arial" w:hAnsi="arial" w:cs="arial"/>
          <w:b w:val="0"/>
          <w:i w:val="0"/>
          <w:strike w:val="0"/>
          <w:noProof w:val="0"/>
          <w:color w:val="000000"/>
          <w:position w:val="0"/>
          <w:sz w:val="18"/>
          <w:u w:val="none"/>
          <w:vertAlign w:val="baseline"/>
        </w:rPr>
        <w:t xml:space="preserve">, </w:t>
      </w:r>
      <w:hyperlink r:id="rId99" w:history="1">
        <w:r>
          <w:rPr>
            <w:rFonts w:ascii="arial" w:eastAsia="arial" w:hAnsi="arial" w:cs="arial"/>
            <w:b w:val="0"/>
            <w:i/>
            <w:strike w:val="0"/>
            <w:noProof w:val="0"/>
            <w:color w:val="0077CC"/>
            <w:position w:val="0"/>
            <w:sz w:val="18"/>
            <w:u w:val="single"/>
            <w:shd w:val="clear" w:color="auto" w:fill="FFFFFF"/>
            <w:vertAlign w:val="baseline"/>
          </w:rPr>
          <w:t>466 F.3d 1121 (9th Cir. 2006)</w:t>
        </w:r>
      </w:hyperlink>
      <w:r>
        <w:rPr>
          <w:rFonts w:ascii="arial" w:eastAsia="arial" w:hAnsi="arial" w:cs="arial"/>
          <w:b w:val="0"/>
          <w:i w:val="0"/>
          <w:strike w:val="0"/>
          <w:noProof w:val="0"/>
          <w:color w:val="000000"/>
          <w:position w:val="0"/>
          <w:sz w:val="18"/>
          <w:u w:val="none"/>
          <w:vertAlign w:val="baseline"/>
        </w:rPr>
        <w:t xml:space="preserve"> (citing </w:t>
      </w:r>
      <w:r>
        <w:rPr>
          <w:rFonts w:ascii="arial" w:eastAsia="arial" w:hAnsi="arial" w:cs="arial"/>
          <w:b/>
          <w:i/>
          <w:strike w:val="0"/>
          <w:noProof w:val="0"/>
          <w:color w:val="000000"/>
          <w:position w:val="0"/>
          <w:sz w:val="18"/>
          <w:u w:val="none"/>
          <w:vertAlign w:val="baseline"/>
        </w:rPr>
        <w:t>Ye v. INS, 214 F.3d 1128, 1131 (9th Cir. 2000))</w:t>
      </w:r>
      <w:r>
        <w:rPr>
          <w:rFonts w:ascii="arial" w:eastAsia="arial" w:hAnsi="arial" w:cs="arial"/>
          <w:b w:val="0"/>
          <w:i w:val="0"/>
          <w:strike w:val="0"/>
          <w:noProof w:val="0"/>
          <w:color w:val="000000"/>
          <w:position w:val="0"/>
          <w:sz w:val="18"/>
          <w:u w:val="none"/>
          <w:vertAlign w:val="baseline"/>
        </w:rPr>
        <w:t>.</w:t>
      </w:r>
    </w:p>
  </w:footnote>
  <w:footnote w:id="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71 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00" w:history="1">
        <w:r>
          <w:rPr>
            <w:rFonts w:ascii="arial" w:eastAsia="arial" w:hAnsi="arial" w:cs="arial"/>
            <w:b w:val="0"/>
            <w:i/>
            <w:strike w:val="0"/>
            <w:noProof w:val="0"/>
            <w:color w:val="0077CC"/>
            <w:position w:val="0"/>
            <w:sz w:val="18"/>
            <w:u w:val="single"/>
            <w:shd w:val="clear" w:color="auto" w:fill="FFFFFF"/>
            <w:vertAlign w:val="baseline"/>
          </w:rPr>
          <w:t>INA § 240B(f)</w:t>
        </w:r>
      </w:hyperlink>
      <w:r>
        <w:rPr>
          <w:rFonts w:ascii="arial" w:eastAsia="arial" w:hAnsi="arial" w:cs="arial"/>
          <w:b w:val="0"/>
          <w:i w:val="0"/>
          <w:strike w:val="0"/>
          <w:noProof w:val="0"/>
          <w:color w:val="000000"/>
          <w:position w:val="0"/>
          <w:sz w:val="18"/>
          <w:u w:val="none"/>
          <w:vertAlign w:val="baseline"/>
        </w:rPr>
        <w:t xml:space="preserve">, </w:t>
      </w:r>
      <w:hyperlink r:id="rId100" w:history="1">
        <w:r>
          <w:rPr>
            <w:rFonts w:ascii="arial" w:eastAsia="arial" w:hAnsi="arial" w:cs="arial"/>
            <w:b w:val="0"/>
            <w:i/>
            <w:strike w:val="0"/>
            <w:noProof w:val="0"/>
            <w:color w:val="0077CC"/>
            <w:position w:val="0"/>
            <w:sz w:val="18"/>
            <w:u w:val="single"/>
            <w:shd w:val="clear" w:color="auto" w:fill="FFFFFF"/>
            <w:vertAlign w:val="baseline"/>
          </w:rPr>
          <w:t>8 U.S.C. § 1229c(f)</w:t>
        </w:r>
      </w:hyperlink>
      <w:r>
        <w:rPr>
          <w:rFonts w:ascii="arial" w:eastAsia="arial" w:hAnsi="arial" w:cs="arial"/>
          <w:b w:val="0"/>
          <w:i w:val="0"/>
          <w:strike w:val="0"/>
          <w:noProof w:val="0"/>
          <w:color w:val="000000"/>
          <w:position w:val="0"/>
          <w:sz w:val="18"/>
          <w:u w:val="none"/>
          <w:vertAlign w:val="baseline"/>
        </w:rPr>
        <w:t xml:space="preserve"> (restricting review of voluntary-departure request under </w:t>
      </w:r>
      <w:hyperlink r:id="rId100" w:history="1">
        <w:r>
          <w:rPr>
            <w:rFonts w:ascii="arial" w:eastAsia="arial" w:hAnsi="arial" w:cs="arial"/>
            <w:b w:val="0"/>
            <w:i/>
            <w:strike w:val="0"/>
            <w:noProof w:val="0"/>
            <w:color w:val="0077CC"/>
            <w:position w:val="0"/>
            <w:sz w:val="18"/>
            <w:u w:val="single"/>
            <w:shd w:val="clear" w:color="auto" w:fill="FFFFFF"/>
            <w:vertAlign w:val="baseline"/>
          </w:rPr>
          <w:t>INA § 240B(b)</w:t>
        </w:r>
      </w:hyperlink>
      <w:r>
        <w:rPr>
          <w:rFonts w:ascii="arial" w:eastAsia="arial" w:hAnsi="arial" w:cs="arial"/>
          <w:b w:val="0"/>
          <w:i w:val="0"/>
          <w:strike w:val="0"/>
          <w:noProof w:val="0"/>
          <w:color w:val="000000"/>
          <w:position w:val="0"/>
          <w:sz w:val="18"/>
          <w:u w:val="none"/>
          <w:vertAlign w:val="baseline"/>
        </w:rPr>
        <w:t xml:space="preserve">, </w:t>
      </w:r>
      <w:hyperlink r:id="rId100" w:history="1">
        <w:r>
          <w:rPr>
            <w:rFonts w:ascii="arial" w:eastAsia="arial" w:hAnsi="arial" w:cs="arial"/>
            <w:b w:val="0"/>
            <w:i/>
            <w:strike w:val="0"/>
            <w:noProof w:val="0"/>
            <w:color w:val="0077CC"/>
            <w:position w:val="0"/>
            <w:sz w:val="18"/>
            <w:u w:val="single"/>
            <w:shd w:val="clear" w:color="auto" w:fill="FFFFFF"/>
            <w:vertAlign w:val="baseline"/>
          </w:rPr>
          <w:t>8 U.S.C. § 1229c(b)</w:t>
        </w:r>
      </w:hyperlink>
      <w:r>
        <w:rPr>
          <w:rFonts w:ascii="arial" w:eastAsia="arial" w:hAnsi="arial" w:cs="arial"/>
          <w:b w:val="0"/>
          <w:i w:val="0"/>
          <w:strike w:val="0"/>
          <w:noProof w:val="0"/>
          <w:color w:val="000000"/>
          <w:position w:val="0"/>
          <w:sz w:val="18"/>
          <w:u w:val="none"/>
          <w:vertAlign w:val="baseline"/>
        </w:rPr>
        <w:t>).</w:t>
      </w:r>
    </w:p>
  </w:footnote>
  <w:footnote w:id="7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72 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Memorandum from John M. Walker, Chief Judge, to the district courts within the Second Circuit, </w:t>
      </w:r>
      <w:r>
        <w:rPr>
          <w:rFonts w:ascii="arial" w:eastAsia="arial" w:hAnsi="arial" w:cs="arial"/>
          <w:b w:val="0"/>
          <w:i/>
          <w:strike w:val="0"/>
          <w:noProof w:val="0"/>
          <w:color w:val="000000"/>
          <w:position w:val="0"/>
          <w:sz w:val="18"/>
          <w:u w:val="none"/>
          <w:vertAlign w:val="baseline"/>
        </w:rPr>
        <w:t xml:space="preserve">REAL ID Act of 2005, </w:t>
      </w:r>
      <w:r>
        <w:rPr>
          <w:rFonts w:ascii="arial" w:eastAsia="arial" w:hAnsi="arial" w:cs="arial"/>
          <w:b w:val="0"/>
          <w:i/>
          <w:strike w:val="0"/>
          <w:noProof w:val="0"/>
          <w:color w:val="000000"/>
          <w:position w:val="0"/>
          <w:sz w:val="18"/>
          <w:u w:val="none"/>
          <w:vertAlign w:val="baseline"/>
        </w:rPr>
        <w:t>Pub. L. No. 109-13, 119 Stat. 231</w:t>
      </w:r>
      <w:r>
        <w:rPr>
          <w:rFonts w:ascii="arial" w:eastAsia="arial" w:hAnsi="arial" w:cs="arial"/>
          <w:b w:val="0"/>
          <w:i/>
          <w:strike w:val="0"/>
          <w:noProof w:val="0"/>
          <w:color w:val="000000"/>
          <w:position w:val="0"/>
          <w:sz w:val="18"/>
          <w:u w:val="none"/>
          <w:vertAlign w:val="baseline"/>
        </w:rPr>
        <w:t xml:space="preserve"> (May 11, 2005)</w:t>
      </w:r>
      <w:r>
        <w:rPr>
          <w:rFonts w:ascii="arial" w:eastAsia="arial" w:hAnsi="arial" w:cs="arial"/>
          <w:b w:val="0"/>
          <w:i w:val="0"/>
          <w:strike w:val="0"/>
          <w:noProof w:val="0"/>
          <w:color w:val="000000"/>
          <w:position w:val="0"/>
          <w:sz w:val="18"/>
          <w:u w:val="none"/>
          <w:vertAlign w:val="baseline"/>
        </w:rPr>
        <w:t xml:space="preserve"> (June 8, 2005), </w:t>
      </w:r>
      <w:r>
        <w:rPr>
          <w:rFonts w:ascii="arial" w:eastAsia="arial" w:hAnsi="arial" w:cs="arial"/>
          <w:b w:val="0"/>
          <w:i/>
          <w:strike w:val="0"/>
          <w:noProof w:val="0"/>
          <w:color w:val="000000"/>
          <w:position w:val="0"/>
          <w:sz w:val="18"/>
          <w:u w:val="none"/>
          <w:vertAlign w:val="baseline"/>
        </w:rPr>
        <w:t>reprinted at</w:t>
      </w:r>
      <w:r>
        <w:rPr>
          <w:rFonts w:ascii="arial" w:eastAsia="arial" w:hAnsi="arial" w:cs="arial"/>
          <w:b w:val="0"/>
          <w:i w:val="0"/>
          <w:strike w:val="0"/>
          <w:noProof w:val="0"/>
          <w:color w:val="000000"/>
          <w:position w:val="0"/>
          <w:sz w:val="18"/>
          <w:u w:val="none"/>
          <w:vertAlign w:val="baseline"/>
        </w:rPr>
        <w:t xml:space="preserve"> 10 Bender’s Immigr. Bull. 1126 (App. A) (July 1, 2005); Memorandum from Anthony J. Scirica, Chief Judge, to the district courts and litigants within the Third Circuit, </w:t>
      </w:r>
      <w:r>
        <w:rPr>
          <w:rFonts w:ascii="arial" w:eastAsia="arial" w:hAnsi="arial" w:cs="arial"/>
          <w:b w:val="0"/>
          <w:i/>
          <w:strike w:val="0"/>
          <w:noProof w:val="0"/>
          <w:color w:val="000000"/>
          <w:position w:val="0"/>
          <w:sz w:val="18"/>
          <w:u w:val="none"/>
          <w:vertAlign w:val="baseline"/>
        </w:rPr>
        <w:t xml:space="preserve">REAL ID Act of 2005, </w:t>
      </w:r>
      <w:r>
        <w:rPr>
          <w:rFonts w:ascii="arial" w:eastAsia="arial" w:hAnsi="arial" w:cs="arial"/>
          <w:b w:val="0"/>
          <w:i/>
          <w:strike w:val="0"/>
          <w:noProof w:val="0"/>
          <w:color w:val="000000"/>
          <w:position w:val="0"/>
          <w:sz w:val="18"/>
          <w:u w:val="none"/>
          <w:vertAlign w:val="baseline"/>
        </w:rPr>
        <w:t>Pub. L. No. 109-13, 119 Stat. 231</w:t>
      </w:r>
      <w:r>
        <w:rPr>
          <w:rFonts w:ascii="arial" w:eastAsia="arial" w:hAnsi="arial" w:cs="arial"/>
          <w:b w:val="0"/>
          <w:i/>
          <w:strike w:val="0"/>
          <w:noProof w:val="0"/>
          <w:color w:val="000000"/>
          <w:position w:val="0"/>
          <w:sz w:val="18"/>
          <w:u w:val="none"/>
          <w:vertAlign w:val="baseline"/>
        </w:rPr>
        <w:t xml:space="preserve"> (May 11, 2005)</w:t>
      </w:r>
      <w:r>
        <w:rPr>
          <w:rFonts w:ascii="arial" w:eastAsia="arial" w:hAnsi="arial" w:cs="arial"/>
          <w:b w:val="0"/>
          <w:i w:val="0"/>
          <w:strike w:val="0"/>
          <w:noProof w:val="0"/>
          <w:color w:val="000000"/>
          <w:position w:val="0"/>
          <w:sz w:val="18"/>
          <w:u w:val="none"/>
          <w:vertAlign w:val="baseline"/>
        </w:rPr>
        <w:t xml:space="preserve"> (June 16, 2005), </w:t>
      </w:r>
      <w:r>
        <w:rPr>
          <w:rFonts w:ascii="arial" w:eastAsia="arial" w:hAnsi="arial" w:cs="arial"/>
          <w:b w:val="0"/>
          <w:i/>
          <w:strike w:val="0"/>
          <w:noProof w:val="0"/>
          <w:color w:val="000000"/>
          <w:position w:val="0"/>
          <w:sz w:val="18"/>
          <w:u w:val="none"/>
          <w:vertAlign w:val="baseline"/>
        </w:rPr>
        <w:t>reprinted at</w:t>
      </w:r>
      <w:r>
        <w:rPr>
          <w:rFonts w:ascii="arial" w:eastAsia="arial" w:hAnsi="arial" w:cs="arial"/>
          <w:b w:val="0"/>
          <w:i w:val="0"/>
          <w:strike w:val="0"/>
          <w:noProof w:val="0"/>
          <w:color w:val="000000"/>
          <w:position w:val="0"/>
          <w:sz w:val="18"/>
          <w:u w:val="none"/>
          <w:vertAlign w:val="baseline"/>
        </w:rPr>
        <w:t xml:space="preserve"> 10 Bender’s Immigr. Bull. 1129 (App. B) (July 1, 2005); Memorandum from Charles R. Fulbruge III to district court clerks of the Fifth Circuit, </w:t>
      </w:r>
      <w:r>
        <w:rPr>
          <w:rFonts w:ascii="arial" w:eastAsia="arial" w:hAnsi="arial" w:cs="arial"/>
          <w:b w:val="0"/>
          <w:i/>
          <w:strike w:val="0"/>
          <w:noProof w:val="0"/>
          <w:color w:val="000000"/>
          <w:position w:val="0"/>
          <w:sz w:val="18"/>
          <w:u w:val="none"/>
          <w:vertAlign w:val="baseline"/>
        </w:rPr>
        <w:t>REAL ID Act of 2005</w:t>
      </w:r>
      <w:r>
        <w:rPr>
          <w:rFonts w:ascii="arial" w:eastAsia="arial" w:hAnsi="arial" w:cs="arial"/>
          <w:b w:val="0"/>
          <w:i w:val="0"/>
          <w:strike w:val="0"/>
          <w:noProof w:val="0"/>
          <w:color w:val="000000"/>
          <w:position w:val="0"/>
          <w:sz w:val="18"/>
          <w:u w:val="none"/>
          <w:vertAlign w:val="baseline"/>
        </w:rPr>
        <w:t xml:space="preserve"> (May 31, 2005), </w:t>
      </w:r>
      <w:r>
        <w:rPr>
          <w:rFonts w:ascii="arial" w:eastAsia="arial" w:hAnsi="arial" w:cs="arial"/>
          <w:b w:val="0"/>
          <w:i/>
          <w:strike w:val="0"/>
          <w:noProof w:val="0"/>
          <w:color w:val="000000"/>
          <w:position w:val="0"/>
          <w:sz w:val="18"/>
          <w:u w:val="none"/>
          <w:vertAlign w:val="baseline"/>
        </w:rPr>
        <w:t>reprinted at</w:t>
      </w:r>
      <w:r>
        <w:rPr>
          <w:rFonts w:ascii="arial" w:eastAsia="arial" w:hAnsi="arial" w:cs="arial"/>
          <w:b w:val="0"/>
          <w:i w:val="0"/>
          <w:strike w:val="0"/>
          <w:noProof w:val="0"/>
          <w:color w:val="000000"/>
          <w:position w:val="0"/>
          <w:sz w:val="18"/>
          <w:u w:val="none"/>
          <w:vertAlign w:val="baseline"/>
        </w:rPr>
        <w:t xml:space="preserve"> 10 Bender’s Immigr. Bull. 1132 (App. C) (July 1, 2005).</w:t>
      </w:r>
    </w:p>
  </w:footnote>
  <w:footnote w:id="7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01" w:history="1">
        <w:r>
          <w:rPr>
            <w:rFonts w:ascii="arial" w:eastAsia="arial" w:hAnsi="arial" w:cs="arial"/>
            <w:b w:val="0"/>
            <w:i/>
            <w:strike w:val="0"/>
            <w:noProof w:val="0"/>
            <w:color w:val="0077CC"/>
            <w:position w:val="0"/>
            <w:sz w:val="18"/>
            <w:u w:val="single"/>
            <w:shd w:val="clear" w:color="auto" w:fill="FFFFFF"/>
            <w:vertAlign w:val="baseline"/>
          </w:rPr>
          <w:t>Verde-Rodrigues v. Att’y Gen of U.S., 734 F.3d 198, 203–04 (3d Cir. 2013)</w:t>
        </w:r>
      </w:hyperlink>
      <w:r>
        <w:rPr>
          <w:rFonts w:ascii="arial" w:eastAsia="arial" w:hAnsi="arial" w:cs="arial"/>
          <w:b w:val="0"/>
          <w:i w:val="0"/>
          <w:strike w:val="0"/>
          <w:noProof w:val="0"/>
          <w:color w:val="000000"/>
          <w:position w:val="0"/>
          <w:sz w:val="18"/>
          <w:u w:val="none"/>
          <w:vertAlign w:val="baseline"/>
        </w:rPr>
        <w:t xml:space="preserve"> (discussing district court transfer); </w:t>
      </w:r>
      <w:hyperlink r:id="rId102" w:history="1">
        <w:r>
          <w:rPr>
            <w:rFonts w:ascii="arial" w:eastAsia="arial" w:hAnsi="arial" w:cs="arial"/>
            <w:b w:val="0"/>
            <w:i/>
            <w:strike w:val="0"/>
            <w:noProof w:val="0"/>
            <w:color w:val="0077CC"/>
            <w:position w:val="0"/>
            <w:sz w:val="18"/>
            <w:u w:val="single"/>
            <w:shd w:val="clear" w:color="auto" w:fill="FFFFFF"/>
            <w:vertAlign w:val="baseline"/>
          </w:rPr>
          <w:t>Therve v. U.S. ICE, 2012 U.S. Dist. LEXIS 44544, at *1 (N.D. Fla. Mar. 30, 2012)</w:t>
        </w:r>
      </w:hyperlink>
      <w:r>
        <w:rPr>
          <w:rFonts w:ascii="arial" w:eastAsia="arial" w:hAnsi="arial" w:cs="arial"/>
          <w:b w:val="0"/>
          <w:i w:val="0"/>
          <w:strike w:val="0"/>
          <w:noProof w:val="0"/>
          <w:color w:val="000000"/>
          <w:position w:val="0"/>
          <w:sz w:val="18"/>
          <w:u w:val="none"/>
          <w:vertAlign w:val="baseline"/>
        </w:rPr>
        <w:t xml:space="preserve">; </w:t>
      </w:r>
      <w:hyperlink r:id="rId103" w:history="1">
        <w:r>
          <w:rPr>
            <w:rFonts w:ascii="arial" w:eastAsia="arial" w:hAnsi="arial" w:cs="arial"/>
            <w:b w:val="0"/>
            <w:i/>
            <w:strike w:val="0"/>
            <w:noProof w:val="0"/>
            <w:color w:val="0077CC"/>
            <w:position w:val="0"/>
            <w:sz w:val="18"/>
            <w:u w:val="single"/>
            <w:shd w:val="clear" w:color="auto" w:fill="FFFFFF"/>
            <w:vertAlign w:val="baseline"/>
          </w:rPr>
          <w:t>Pierre v. Upchurch, 2005 U.S. Dist. LEXIS 15131 (N.D. Tex. July 25, 2005)</w:t>
        </w:r>
      </w:hyperlink>
      <w:r>
        <w:rPr>
          <w:rFonts w:ascii="arial" w:eastAsia="arial" w:hAnsi="arial" w:cs="arial"/>
          <w:b w:val="0"/>
          <w:i w:val="0"/>
          <w:strike w:val="0"/>
          <w:noProof w:val="0"/>
          <w:color w:val="000000"/>
          <w:position w:val="0"/>
          <w:sz w:val="18"/>
          <w:u w:val="none"/>
          <w:vertAlign w:val="baseline"/>
        </w:rPr>
        <w:t xml:space="preserve">; </w:t>
      </w:r>
      <w:hyperlink r:id="rId104" w:history="1">
        <w:r>
          <w:rPr>
            <w:rFonts w:ascii="arial" w:eastAsia="arial" w:hAnsi="arial" w:cs="arial"/>
            <w:b w:val="0"/>
            <w:i/>
            <w:strike w:val="0"/>
            <w:noProof w:val="0"/>
            <w:color w:val="0077CC"/>
            <w:position w:val="0"/>
            <w:sz w:val="18"/>
            <w:u w:val="single"/>
            <w:shd w:val="clear" w:color="auto" w:fill="FFFFFF"/>
            <w:vertAlign w:val="baseline"/>
          </w:rPr>
          <w:t>Martinez v. Ashcroft, 2005 U.S. Dist. LEXIS 14940 (S.D.N.Y. July 25, 2005)</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rev’d in part on other grounds sub nom.</w:t>
      </w:r>
      <w:r>
        <w:rPr>
          <w:rFonts w:ascii="arial" w:eastAsia="arial" w:hAnsi="arial" w:cs="arial"/>
          <w:b w:val="0"/>
          <w:i w:val="0"/>
          <w:strike w:val="0"/>
          <w:noProof w:val="0"/>
          <w:color w:val="000000"/>
          <w:position w:val="0"/>
          <w:sz w:val="18"/>
          <w:u w:val="none"/>
          <w:vertAlign w:val="baseline"/>
        </w:rPr>
        <w:t xml:space="preserve"> </w:t>
      </w:r>
      <w:hyperlink r:id="rId105" w:history="1">
        <w:r>
          <w:rPr>
            <w:rFonts w:ascii="arial" w:eastAsia="arial" w:hAnsi="arial" w:cs="arial"/>
            <w:b w:val="0"/>
            <w:i/>
            <w:strike w:val="0"/>
            <w:noProof w:val="0"/>
            <w:color w:val="0077CC"/>
            <w:position w:val="0"/>
            <w:sz w:val="18"/>
            <w:u w:val="single"/>
            <w:shd w:val="clear" w:color="auto" w:fill="FFFFFF"/>
            <w:vertAlign w:val="baseline"/>
          </w:rPr>
          <w:t>Martinez v. Gonzales, 2006 U.S. App. LEXIS 13538 (2d Cir. May 26, 2006)</w:t>
        </w:r>
      </w:hyperlink>
      <w:r>
        <w:rPr>
          <w:rFonts w:ascii="arial" w:eastAsia="arial" w:hAnsi="arial" w:cs="arial"/>
          <w:b w:val="0"/>
          <w:i w:val="0"/>
          <w:strike w:val="0"/>
          <w:noProof w:val="0"/>
          <w:color w:val="000000"/>
          <w:position w:val="0"/>
          <w:sz w:val="18"/>
          <w:u w:val="none"/>
          <w:vertAlign w:val="baseline"/>
        </w:rPr>
        <w:t xml:space="preserve">; </w:t>
      </w:r>
      <w:hyperlink r:id="rId106" w:history="1">
        <w:r>
          <w:rPr>
            <w:rFonts w:ascii="arial" w:eastAsia="arial" w:hAnsi="arial" w:cs="arial"/>
            <w:b w:val="0"/>
            <w:i/>
            <w:strike w:val="0"/>
            <w:noProof w:val="0"/>
            <w:color w:val="0077CC"/>
            <w:position w:val="0"/>
            <w:sz w:val="18"/>
            <w:u w:val="single"/>
            <w:shd w:val="clear" w:color="auto" w:fill="FFFFFF"/>
            <w:vertAlign w:val="baseline"/>
          </w:rPr>
          <w:t>Charania v. Upchurch, 2005 U.S. Dist. LEXIS 14550 (N.D. Tex. July 19, 2005)</w:t>
        </w:r>
      </w:hyperlink>
      <w:r>
        <w:rPr>
          <w:rFonts w:ascii="arial" w:eastAsia="arial" w:hAnsi="arial" w:cs="arial"/>
          <w:b w:val="0"/>
          <w:i w:val="0"/>
          <w:strike w:val="0"/>
          <w:noProof w:val="0"/>
          <w:color w:val="000000"/>
          <w:position w:val="0"/>
          <w:sz w:val="18"/>
          <w:u w:val="none"/>
          <w:vertAlign w:val="baseline"/>
        </w:rPr>
        <w:t xml:space="preserve">; </w:t>
      </w:r>
      <w:hyperlink r:id="rId107" w:history="1">
        <w:r>
          <w:rPr>
            <w:rFonts w:ascii="arial" w:eastAsia="arial" w:hAnsi="arial" w:cs="arial"/>
            <w:b w:val="0"/>
            <w:i/>
            <w:strike w:val="0"/>
            <w:noProof w:val="0"/>
            <w:color w:val="0077CC"/>
            <w:position w:val="0"/>
            <w:sz w:val="18"/>
            <w:u w:val="single"/>
            <w:shd w:val="clear" w:color="auto" w:fill="FFFFFF"/>
            <w:vertAlign w:val="baseline"/>
          </w:rPr>
          <w:t>Enwonwu v. Chertoff, 376 F. Supp. 2d 42 (D. Mass. 2005)</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remanded on other grounds</w:t>
      </w:r>
      <w:r>
        <w:rPr>
          <w:rFonts w:ascii="arial" w:eastAsia="arial" w:hAnsi="arial" w:cs="arial"/>
          <w:b w:val="0"/>
          <w:i w:val="0"/>
          <w:strike w:val="0"/>
          <w:noProof w:val="0"/>
          <w:color w:val="000000"/>
          <w:position w:val="0"/>
          <w:sz w:val="18"/>
          <w:u w:val="none"/>
          <w:vertAlign w:val="baseline"/>
        </w:rPr>
        <w:t xml:space="preserve">, </w:t>
      </w:r>
      <w:hyperlink r:id="rId108" w:history="1">
        <w:r>
          <w:rPr>
            <w:rFonts w:ascii="arial" w:eastAsia="arial" w:hAnsi="arial" w:cs="arial"/>
            <w:b w:val="0"/>
            <w:i/>
            <w:strike w:val="0"/>
            <w:noProof w:val="0"/>
            <w:color w:val="0077CC"/>
            <w:position w:val="0"/>
            <w:sz w:val="18"/>
            <w:u w:val="single"/>
            <w:shd w:val="clear" w:color="auto" w:fill="FFFFFF"/>
            <w:vertAlign w:val="baseline"/>
          </w:rPr>
          <w:t>438 F.3d 22 (1st Cir. 2006)</w:t>
        </w:r>
      </w:hyperlink>
      <w:r>
        <w:rPr>
          <w:rFonts w:ascii="arial" w:eastAsia="arial" w:hAnsi="arial" w:cs="arial"/>
          <w:b w:val="0"/>
          <w:i w:val="0"/>
          <w:strike w:val="0"/>
          <w:noProof w:val="0"/>
          <w:color w:val="000000"/>
          <w:position w:val="0"/>
          <w:sz w:val="18"/>
          <w:u w:val="none"/>
          <w:vertAlign w:val="baseline"/>
        </w:rPr>
        <w:t xml:space="preserve">; </w:t>
      </w:r>
      <w:hyperlink r:id="rId109" w:history="1">
        <w:r>
          <w:rPr>
            <w:rFonts w:ascii="arial" w:eastAsia="arial" w:hAnsi="arial" w:cs="arial"/>
            <w:b w:val="0"/>
            <w:i/>
            <w:strike w:val="0"/>
            <w:noProof w:val="0"/>
            <w:color w:val="0077CC"/>
            <w:position w:val="0"/>
            <w:sz w:val="18"/>
            <w:u w:val="single"/>
            <w:shd w:val="clear" w:color="auto" w:fill="FFFFFF"/>
            <w:vertAlign w:val="baseline"/>
          </w:rPr>
          <w:t>Nasserian v. Ridge, 2005 U.S. Dist. LEXIS 13730 (N.D. Tex. July 11, 2005)</w:t>
        </w:r>
      </w:hyperlink>
      <w:r>
        <w:rPr>
          <w:rFonts w:ascii="arial" w:eastAsia="arial" w:hAnsi="arial" w:cs="arial"/>
          <w:b w:val="0"/>
          <w:i w:val="0"/>
          <w:strike w:val="0"/>
          <w:noProof w:val="0"/>
          <w:color w:val="000000"/>
          <w:position w:val="0"/>
          <w:sz w:val="18"/>
          <w:u w:val="none"/>
          <w:vertAlign w:val="baseline"/>
        </w:rPr>
        <w:t xml:space="preserve">; </w:t>
      </w:r>
      <w:hyperlink r:id="rId110" w:history="1">
        <w:r>
          <w:rPr>
            <w:rFonts w:ascii="arial" w:eastAsia="arial" w:hAnsi="arial" w:cs="arial"/>
            <w:b w:val="0"/>
            <w:i/>
            <w:strike w:val="0"/>
            <w:noProof w:val="0"/>
            <w:color w:val="0077CC"/>
            <w:position w:val="0"/>
            <w:sz w:val="18"/>
            <w:u w:val="single"/>
            <w:shd w:val="clear" w:color="auto" w:fill="FFFFFF"/>
            <w:vertAlign w:val="baseline"/>
          </w:rPr>
          <w:t>Mansoor v. Barrows, 2005 U.S. Dist. LEXIS 13641 (N.D. Tex. July 8, 2005)</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review denied for lack of jurisdiction</w:t>
      </w:r>
      <w:r>
        <w:rPr>
          <w:rFonts w:ascii="arial" w:eastAsia="arial" w:hAnsi="arial" w:cs="arial"/>
          <w:b w:val="0"/>
          <w:i w:val="0"/>
          <w:strike w:val="0"/>
          <w:noProof w:val="0"/>
          <w:color w:val="000000"/>
          <w:position w:val="0"/>
          <w:sz w:val="18"/>
          <w:u w:val="none"/>
          <w:vertAlign w:val="baseline"/>
        </w:rPr>
        <w:t xml:space="preserve">, </w:t>
      </w:r>
      <w:hyperlink r:id="rId111" w:history="1">
        <w:r>
          <w:rPr>
            <w:rFonts w:ascii="arial" w:eastAsia="arial" w:hAnsi="arial" w:cs="arial"/>
            <w:b w:val="0"/>
            <w:i/>
            <w:strike w:val="0"/>
            <w:noProof w:val="0"/>
            <w:color w:val="0077CC"/>
            <w:position w:val="0"/>
            <w:sz w:val="18"/>
            <w:u w:val="single"/>
            <w:shd w:val="clear" w:color="auto" w:fill="FFFFFF"/>
            <w:vertAlign w:val="baseline"/>
          </w:rPr>
          <w:t>2006 U.S. App. LEXIS 17057 (5th Cir. July 7, 2006)</w:t>
        </w:r>
      </w:hyperlink>
      <w:r>
        <w:rPr>
          <w:rFonts w:ascii="arial" w:eastAsia="arial" w:hAnsi="arial" w:cs="arial"/>
          <w:b w:val="0"/>
          <w:i w:val="0"/>
          <w:strike w:val="0"/>
          <w:noProof w:val="0"/>
          <w:color w:val="000000"/>
          <w:position w:val="0"/>
          <w:sz w:val="18"/>
          <w:u w:val="none"/>
          <w:vertAlign w:val="baseline"/>
        </w:rPr>
        <w:t xml:space="preserve">; </w:t>
      </w:r>
      <w:hyperlink r:id="rId112" w:history="1">
        <w:r>
          <w:rPr>
            <w:rFonts w:ascii="arial" w:eastAsia="arial" w:hAnsi="arial" w:cs="arial"/>
            <w:b w:val="0"/>
            <w:i/>
            <w:strike w:val="0"/>
            <w:noProof w:val="0"/>
            <w:color w:val="0077CC"/>
            <w:position w:val="0"/>
            <w:sz w:val="18"/>
            <w:u w:val="single"/>
            <w:shd w:val="clear" w:color="auto" w:fill="FFFFFF"/>
            <w:vertAlign w:val="baseline"/>
          </w:rPr>
          <w:t>Kovacevic v. DHS, 2005 U.S. Dist. LEXIS 12681 (N.D. Tex. June 27, 2005)</w:t>
        </w:r>
      </w:hyperlink>
      <w:r>
        <w:rPr>
          <w:rFonts w:ascii="arial" w:eastAsia="arial" w:hAnsi="arial" w:cs="arial"/>
          <w:b w:val="0"/>
          <w:i w:val="0"/>
          <w:strike w:val="0"/>
          <w:noProof w:val="0"/>
          <w:color w:val="000000"/>
          <w:position w:val="0"/>
          <w:sz w:val="18"/>
          <w:u w:val="none"/>
          <w:vertAlign w:val="baseline"/>
        </w:rPr>
        <w:t xml:space="preserve">; </w:t>
      </w:r>
      <w:hyperlink r:id="rId113" w:history="1">
        <w:r>
          <w:rPr>
            <w:rFonts w:ascii="arial" w:eastAsia="arial" w:hAnsi="arial" w:cs="arial"/>
            <w:b w:val="0"/>
            <w:i/>
            <w:strike w:val="0"/>
            <w:noProof w:val="0"/>
            <w:color w:val="0077CC"/>
            <w:position w:val="0"/>
            <w:sz w:val="18"/>
            <w:u w:val="single"/>
            <w:shd w:val="clear" w:color="auto" w:fill="FFFFFF"/>
            <w:vertAlign w:val="baseline"/>
          </w:rPr>
          <w:t>Hernandez v. ICE, 2005 U.S. Dist. LEXIS 12168 (W.D. Ky. June 16, 2005)</w:t>
        </w:r>
      </w:hyperlink>
      <w:r>
        <w:rPr>
          <w:rFonts w:ascii="arial" w:eastAsia="arial" w:hAnsi="arial" w:cs="arial"/>
          <w:b w:val="0"/>
          <w:i w:val="0"/>
          <w:strike w:val="0"/>
          <w:noProof w:val="0"/>
          <w:color w:val="000000"/>
          <w:position w:val="0"/>
          <w:sz w:val="18"/>
          <w:u w:val="none"/>
          <w:vertAlign w:val="baseline"/>
        </w:rPr>
        <w:t xml:space="preserve">; </w:t>
      </w:r>
      <w:hyperlink r:id="rId114" w:history="1">
        <w:r>
          <w:rPr>
            <w:rFonts w:ascii="arial" w:eastAsia="arial" w:hAnsi="arial" w:cs="arial"/>
            <w:b w:val="0"/>
            <w:i/>
            <w:strike w:val="0"/>
            <w:noProof w:val="0"/>
            <w:color w:val="0077CC"/>
            <w:position w:val="0"/>
            <w:sz w:val="18"/>
            <w:u w:val="single"/>
            <w:shd w:val="clear" w:color="auto" w:fill="FFFFFF"/>
            <w:vertAlign w:val="baseline"/>
          </w:rPr>
          <w:t>Garner v. Prendes, 2005 U.S. Dist. LEXIS 11087 (N.D. Tex. June 8, 2005)</w:t>
        </w:r>
      </w:hyperlink>
      <w:r>
        <w:rPr>
          <w:rFonts w:ascii="arial" w:eastAsia="arial" w:hAnsi="arial" w:cs="arial"/>
          <w:b w:val="0"/>
          <w:i w:val="0"/>
          <w:strike w:val="0"/>
          <w:noProof w:val="0"/>
          <w:color w:val="000000"/>
          <w:position w:val="0"/>
          <w:sz w:val="18"/>
          <w:u w:val="none"/>
          <w:vertAlign w:val="baseline"/>
        </w:rPr>
        <w:t xml:space="preserve">; </w:t>
      </w:r>
      <w:hyperlink r:id="rId115" w:history="1">
        <w:r>
          <w:rPr>
            <w:rFonts w:ascii="arial" w:eastAsia="arial" w:hAnsi="arial" w:cs="arial"/>
            <w:b w:val="0"/>
            <w:i/>
            <w:strike w:val="0"/>
            <w:noProof w:val="0"/>
            <w:color w:val="0077CC"/>
            <w:position w:val="0"/>
            <w:sz w:val="18"/>
            <w:u w:val="single"/>
            <w:shd w:val="clear" w:color="auto" w:fill="FFFFFF"/>
            <w:vertAlign w:val="baseline"/>
          </w:rPr>
          <w:t>Campos-Javier v. Ashcroft, 2005 U.S. Dist. LEXIS 10840 (S.D.N.Y. June 6, 2005)</w:t>
        </w:r>
      </w:hyperlink>
      <w:r>
        <w:rPr>
          <w:rFonts w:ascii="arial" w:eastAsia="arial" w:hAnsi="arial" w:cs="arial"/>
          <w:b w:val="0"/>
          <w:i w:val="0"/>
          <w:strike w:val="0"/>
          <w:noProof w:val="0"/>
          <w:color w:val="000000"/>
          <w:position w:val="0"/>
          <w:sz w:val="18"/>
          <w:u w:val="none"/>
          <w:vertAlign w:val="baseline"/>
        </w:rPr>
        <w:t xml:space="preserve">; </w:t>
      </w:r>
      <w:hyperlink r:id="rId116" w:history="1">
        <w:r>
          <w:rPr>
            <w:rFonts w:ascii="arial" w:eastAsia="arial" w:hAnsi="arial" w:cs="arial"/>
            <w:b w:val="0"/>
            <w:i/>
            <w:strike w:val="0"/>
            <w:noProof w:val="0"/>
            <w:color w:val="0077CC"/>
            <w:position w:val="0"/>
            <w:sz w:val="18"/>
            <w:u w:val="single"/>
            <w:shd w:val="clear" w:color="auto" w:fill="FFFFFF"/>
            <w:vertAlign w:val="baseline"/>
          </w:rPr>
          <w:t>Ellis v. ICE, 2005 U.S. Dist. LEXIS 10645 (S.D.N.Y June 1, 2005)</w:t>
        </w:r>
      </w:hyperlink>
      <w:r>
        <w:rPr>
          <w:rFonts w:ascii="arial" w:eastAsia="arial" w:hAnsi="arial" w:cs="arial"/>
          <w:b w:val="0"/>
          <w:i w:val="0"/>
          <w:strike w:val="0"/>
          <w:noProof w:val="0"/>
          <w:color w:val="000000"/>
          <w:position w:val="0"/>
          <w:sz w:val="18"/>
          <w:u w:val="none"/>
          <w:vertAlign w:val="baseline"/>
        </w:rPr>
        <w:t>.</w:t>
      </w:r>
    </w:p>
  </w:footnote>
  <w:footnote w:id="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74 </w:t>
      </w:r>
      <w:hyperlink r:id="rId117" w:history="1">
        <w:r>
          <w:rPr>
            <w:rFonts w:ascii="arial" w:eastAsia="arial" w:hAnsi="arial" w:cs="arial"/>
            <w:b w:val="0"/>
            <w:i/>
            <w:strike w:val="0"/>
            <w:noProof w:val="0"/>
            <w:color w:val="0077CC"/>
            <w:position w:val="0"/>
            <w:sz w:val="18"/>
            <w:u w:val="single"/>
            <w:shd w:val="clear" w:color="auto" w:fill="FFFFFF"/>
            <w:vertAlign w:val="baseline"/>
          </w:rPr>
          <w:t>Placide v. Gonzales, 2005 U.S. Dist. LEXIS 12219 (D.D.C. June 17, 2005)</w:t>
        </w:r>
      </w:hyperlink>
      <w:r>
        <w:rPr>
          <w:rFonts w:ascii="arial" w:eastAsia="arial" w:hAnsi="arial" w:cs="arial"/>
          <w:b w:val="0"/>
          <w:i w:val="0"/>
          <w:strike w:val="0"/>
          <w:noProof w:val="0"/>
          <w:color w:val="000000"/>
          <w:position w:val="0"/>
          <w:sz w:val="18"/>
          <w:u w:val="none"/>
          <w:vertAlign w:val="baseline"/>
        </w:rPr>
        <w:t>.</w:t>
      </w:r>
    </w:p>
  </w:footnote>
  <w:footnote w:id="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75 </w:t>
      </w:r>
      <w:hyperlink r:id="rId118" w:history="1">
        <w:r>
          <w:rPr>
            <w:rFonts w:ascii="arial" w:eastAsia="arial" w:hAnsi="arial" w:cs="arial"/>
            <w:b w:val="0"/>
            <w:i/>
            <w:strike w:val="0"/>
            <w:noProof w:val="0"/>
            <w:color w:val="0077CC"/>
            <w:position w:val="0"/>
            <w:sz w:val="18"/>
            <w:u w:val="single"/>
            <w:shd w:val="clear" w:color="auto" w:fill="FFFFFF"/>
            <w:vertAlign w:val="baseline"/>
          </w:rPr>
          <w:t>Ortiz v. INS, 2005 U.S. Dist. LEXIS 14919 (S.D.N.Y. July 25, 2005)</w:t>
        </w:r>
      </w:hyperlink>
      <w:r>
        <w:rPr>
          <w:rFonts w:ascii="arial" w:eastAsia="arial" w:hAnsi="arial" w:cs="arial"/>
          <w:b w:val="0"/>
          <w:i w:val="0"/>
          <w:strike w:val="0"/>
          <w:noProof w:val="0"/>
          <w:color w:val="000000"/>
          <w:position w:val="0"/>
          <w:sz w:val="18"/>
          <w:u w:val="none"/>
          <w:vertAlign w:val="baseline"/>
        </w:rPr>
        <w:t>.</w:t>
      </w:r>
    </w:p>
  </w:footnote>
  <w:footnote w:id="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76 </w:t>
      </w:r>
      <w:hyperlink r:id="rId119" w:history="1">
        <w:r>
          <w:rPr>
            <w:rFonts w:ascii="arial" w:eastAsia="arial" w:hAnsi="arial" w:cs="arial"/>
            <w:b w:val="0"/>
            <w:i/>
            <w:strike w:val="0"/>
            <w:noProof w:val="0"/>
            <w:color w:val="0077CC"/>
            <w:position w:val="0"/>
            <w:sz w:val="18"/>
            <w:u w:val="single"/>
            <w:shd w:val="clear" w:color="auto" w:fill="FFFFFF"/>
            <w:vertAlign w:val="baseline"/>
          </w:rPr>
          <w:t>Garcia-Perez v. DHS, 2005 U.S. Dist. LEXIS 11439 (W.D. Tex. June 13, 2005)</w:t>
        </w:r>
      </w:hyperlink>
      <w:r>
        <w:rPr>
          <w:rFonts w:ascii="arial" w:eastAsia="arial" w:hAnsi="arial" w:cs="arial"/>
          <w:b w:val="0"/>
          <w:i w:val="0"/>
          <w:strike w:val="0"/>
          <w:noProof w:val="0"/>
          <w:color w:val="000000"/>
          <w:position w:val="0"/>
          <w:sz w:val="18"/>
          <w:u w:val="none"/>
          <w:vertAlign w:val="baseline"/>
        </w:rPr>
        <w:t>.</w:t>
      </w:r>
    </w:p>
  </w:footnote>
  <w:footnote w:id="7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77 </w:t>
      </w:r>
      <w:hyperlink r:id="rId120" w:history="1">
        <w:r>
          <w:rPr>
            <w:rFonts w:ascii="arial" w:eastAsia="arial" w:hAnsi="arial" w:cs="arial"/>
            <w:b w:val="0"/>
            <w:i/>
            <w:strike w:val="0"/>
            <w:noProof w:val="0"/>
            <w:color w:val="0077CC"/>
            <w:position w:val="0"/>
            <w:sz w:val="18"/>
            <w:u w:val="single"/>
            <w:shd w:val="clear" w:color="auto" w:fill="FFFFFF"/>
            <w:vertAlign w:val="baseline"/>
          </w:rPr>
          <w:t>Edwards v. Holder, 2015 U.S. Dist. LEXIS 58291, at *4–5 (W.D. La. May 4, 2015)</w:t>
        </w:r>
      </w:hyperlink>
      <w:r>
        <w:rPr>
          <w:rFonts w:ascii="arial" w:eastAsia="arial" w:hAnsi="arial" w:cs="arial"/>
          <w:b w:val="0"/>
          <w:i w:val="0"/>
          <w:strike w:val="0"/>
          <w:noProof w:val="0"/>
          <w:color w:val="000000"/>
          <w:position w:val="0"/>
          <w:sz w:val="18"/>
          <w:u w:val="none"/>
          <w:vertAlign w:val="baseline"/>
        </w:rPr>
        <w:t xml:space="preserve"> (declining to transfer petition to Fifth Circuit and instead dismissing for want of jurisdiction because “petition was not pending on the date of the REAL ID Act”); </w:t>
      </w:r>
      <w:hyperlink r:id="rId121" w:history="1">
        <w:r>
          <w:rPr>
            <w:rFonts w:ascii="arial" w:eastAsia="arial" w:hAnsi="arial" w:cs="arial"/>
            <w:b w:val="0"/>
            <w:i/>
            <w:strike w:val="0"/>
            <w:noProof w:val="0"/>
            <w:color w:val="0077CC"/>
            <w:position w:val="0"/>
            <w:sz w:val="18"/>
            <w:u w:val="single"/>
            <w:shd w:val="clear" w:color="auto" w:fill="FFFFFF"/>
            <w:vertAlign w:val="baseline"/>
          </w:rPr>
          <w:t>Pagonis v. Stephens, 2014 U.S. Dist. LEXIS 15994, at *2–3 (S.D. Tex. Feb. 7, 2014)</w:t>
        </w:r>
      </w:hyperlink>
      <w:r>
        <w:rPr>
          <w:rFonts w:ascii="arial" w:eastAsia="arial" w:hAnsi="arial" w:cs="arial"/>
          <w:b w:val="0"/>
          <w:i w:val="0"/>
          <w:strike w:val="0"/>
          <w:noProof w:val="0"/>
          <w:color w:val="000000"/>
          <w:position w:val="0"/>
          <w:sz w:val="18"/>
          <w:u w:val="none"/>
          <w:vertAlign w:val="baseline"/>
        </w:rPr>
        <w:t xml:space="preserve">; Anter v. Holder, 2012 U.S. Dist. 76499, at *5–6 (W.D. La. Mar. 14, 2012); </w:t>
      </w:r>
      <w:hyperlink r:id="rId122" w:history="1">
        <w:r>
          <w:rPr>
            <w:rFonts w:ascii="arial" w:eastAsia="arial" w:hAnsi="arial" w:cs="arial"/>
            <w:b w:val="0"/>
            <w:i/>
            <w:strike w:val="0"/>
            <w:noProof w:val="0"/>
            <w:color w:val="0077CC"/>
            <w:position w:val="0"/>
            <w:sz w:val="18"/>
            <w:u w:val="single"/>
            <w:shd w:val="clear" w:color="auto" w:fill="FFFFFF"/>
            <w:vertAlign w:val="baseline"/>
          </w:rPr>
          <w:t>Munoz v. Gonzalez, 2005 U.S. Dist. LEXIS 14014 (S.D.N.Y. July 11, 2005)</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Zev Kusin, Stephen Yale-Loehr &amp; Lory Diana Rosenberg,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Corpus Restrictions Under the REAL ID Act: The Case Law So Far</w:t>
      </w:r>
      <w:r>
        <w:rPr>
          <w:rFonts w:ascii="arial" w:eastAsia="arial" w:hAnsi="arial" w:cs="arial"/>
          <w:b w:val="0"/>
          <w:i w:val="0"/>
          <w:strike w:val="0"/>
          <w:noProof w:val="0"/>
          <w:color w:val="000000"/>
          <w:position w:val="0"/>
          <w:sz w:val="18"/>
          <w:u w:val="none"/>
          <w:vertAlign w:val="baseline"/>
        </w:rPr>
        <w:t>, 10 Bender’s Immigr. Bull. 1455 (Oct. 1, 2005).</w:t>
      </w:r>
    </w:p>
  </w:footnote>
  <w:footnote w:id="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78 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23" w:history="1">
        <w:r>
          <w:rPr>
            <w:rFonts w:ascii="arial" w:eastAsia="arial" w:hAnsi="arial" w:cs="arial"/>
            <w:b w:val="0"/>
            <w:i/>
            <w:strike w:val="0"/>
            <w:noProof w:val="0"/>
            <w:color w:val="0077CC"/>
            <w:position w:val="0"/>
            <w:sz w:val="18"/>
            <w:u w:val="single"/>
            <w:shd w:val="clear" w:color="auto" w:fill="FFFFFF"/>
            <w:vertAlign w:val="baseline"/>
          </w:rPr>
          <w:t>Ruiz-Martinez v. Mukasey, 516 F.3d 102 (2d Cir. 2008)</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filed two days after REAL ID Act date of enactment but within thirty days of removal order is properly filed petition for review); </w:t>
      </w:r>
      <w:hyperlink r:id="rId124" w:history="1">
        <w:r>
          <w:rPr>
            <w:rFonts w:ascii="arial" w:eastAsia="arial" w:hAnsi="arial" w:cs="arial"/>
            <w:b w:val="0"/>
            <w:i/>
            <w:strike w:val="0"/>
            <w:noProof w:val="0"/>
            <w:color w:val="0077CC"/>
            <w:position w:val="0"/>
            <w:sz w:val="18"/>
            <w:u w:val="single"/>
            <w:shd w:val="clear" w:color="auto" w:fill="FFFFFF"/>
            <w:vertAlign w:val="baseline"/>
          </w:rPr>
          <w:t>Kolkevich v. Att’y Gen., 501 F.3d 323 (3d Cir. 2007)</w:t>
        </w:r>
      </w:hyperlink>
      <w:r>
        <w:rPr>
          <w:rFonts w:ascii="arial" w:eastAsia="arial" w:hAnsi="arial" w:cs="arial"/>
          <w:b w:val="0"/>
          <w:i w:val="0"/>
          <w:strike w:val="0"/>
          <w:noProof w:val="0"/>
          <w:color w:val="000000"/>
          <w:position w:val="0"/>
          <w:sz w:val="18"/>
          <w:u w:val="none"/>
          <w:vertAlign w:val="baseline"/>
        </w:rPr>
        <w:t xml:space="preserve"> (where no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was filed before date of enactment of REAL ID Act but thirty-day deadline for petition for review had already passed, failure to provide any avenue of review would violate Suspension Clause; therefore filing of petition for review permitted). </w:t>
      </w:r>
      <w:r>
        <w:rPr>
          <w:rFonts w:ascii="arial" w:eastAsia="arial" w:hAnsi="arial" w:cs="arial"/>
          <w:b w:val="0"/>
          <w:i/>
          <w:strike w:val="0"/>
          <w:noProof w:val="0"/>
          <w:color w:val="000000"/>
          <w:position w:val="0"/>
          <w:sz w:val="18"/>
          <w:u w:val="none"/>
          <w:vertAlign w:val="baseline"/>
        </w:rPr>
        <w:t>See, e.g., on treatment of district court order</w:t>
      </w:r>
      <w:r>
        <w:rPr>
          <w:rFonts w:ascii="arial" w:eastAsia="arial" w:hAnsi="arial" w:cs="arial"/>
          <w:b w:val="0"/>
          <w:i w:val="0"/>
          <w:strike w:val="0"/>
          <w:noProof w:val="0"/>
          <w:color w:val="000000"/>
          <w:position w:val="0"/>
          <w:sz w:val="18"/>
          <w:u w:val="none"/>
          <w:vertAlign w:val="baseline"/>
        </w:rPr>
        <w:t xml:space="preserve">, </w:t>
      </w:r>
      <w:hyperlink r:id="rId88" w:history="1">
        <w:r>
          <w:rPr>
            <w:rFonts w:ascii="arial" w:eastAsia="arial" w:hAnsi="arial" w:cs="arial"/>
            <w:b w:val="0"/>
            <w:i/>
            <w:strike w:val="0"/>
            <w:noProof w:val="0"/>
            <w:color w:val="0077CC"/>
            <w:position w:val="0"/>
            <w:sz w:val="18"/>
            <w:u w:val="single"/>
            <w:shd w:val="clear" w:color="auto" w:fill="FFFFFF"/>
            <w:vertAlign w:val="baseline"/>
          </w:rPr>
          <w:t>Khouzam v. Att’y Gen., 549 F.3d 235 (3d Cir. 2008)</w:t>
        </w:r>
      </w:hyperlink>
      <w:r>
        <w:rPr>
          <w:rFonts w:ascii="arial" w:eastAsia="arial" w:hAnsi="arial" w:cs="arial"/>
          <w:b w:val="0"/>
          <w:i w:val="0"/>
          <w:strike w:val="0"/>
          <w:noProof w:val="0"/>
          <w:color w:val="000000"/>
          <w:position w:val="0"/>
          <w:sz w:val="18"/>
          <w:u w:val="none"/>
          <w:vertAlign w:val="baseline"/>
        </w:rPr>
        <w:t xml:space="preserve"> (vacated district court order for lack of jurisdiction); </w:t>
      </w:r>
      <w:hyperlink r:id="rId125" w:history="1">
        <w:r>
          <w:rPr>
            <w:rFonts w:ascii="arial" w:eastAsia="arial" w:hAnsi="arial" w:cs="arial"/>
            <w:b w:val="0"/>
            <w:i/>
            <w:strike w:val="0"/>
            <w:noProof w:val="0"/>
            <w:color w:val="0077CC"/>
            <w:position w:val="0"/>
            <w:sz w:val="18"/>
            <w:u w:val="single"/>
            <w:shd w:val="clear" w:color="auto" w:fill="FFFFFF"/>
            <w:vertAlign w:val="baseline"/>
          </w:rPr>
          <w:t>Hernandez v. Gonzales, 437 F.3d 341 (3d Cir. 2006)</w:t>
        </w:r>
      </w:hyperlink>
      <w:r>
        <w:rPr>
          <w:rFonts w:ascii="arial" w:eastAsia="arial" w:hAnsi="arial" w:cs="arial"/>
          <w:b w:val="0"/>
          <w:i w:val="0"/>
          <w:strike w:val="0"/>
          <w:noProof w:val="0"/>
          <w:color w:val="000000"/>
          <w:position w:val="0"/>
          <w:sz w:val="18"/>
          <w:u w:val="none"/>
          <w:vertAlign w:val="baseline"/>
        </w:rPr>
        <w:t xml:space="preserve"> (district court opinion vacated and claims addressed on appeal as if for first time); </w:t>
      </w:r>
      <w:hyperlink r:id="rId126" w:history="1">
        <w:r>
          <w:rPr>
            <w:rFonts w:ascii="arial" w:eastAsia="arial" w:hAnsi="arial" w:cs="arial"/>
            <w:b w:val="0"/>
            <w:i/>
            <w:strike w:val="0"/>
            <w:noProof w:val="0"/>
            <w:color w:val="0077CC"/>
            <w:position w:val="0"/>
            <w:sz w:val="18"/>
            <w:u w:val="single"/>
            <w:shd w:val="clear" w:color="auto" w:fill="FFFFFF"/>
            <w:vertAlign w:val="baseline"/>
          </w:rPr>
          <w:t>Ramirez-Molina v. Ziglar, 436 F.3d 508 (5th Cir. 2008)</w:t>
        </w:r>
      </w:hyperlink>
      <w:r>
        <w:rPr>
          <w:rFonts w:ascii="arial" w:eastAsia="arial" w:hAnsi="arial" w:cs="arial"/>
          <w:b w:val="0"/>
          <w:i w:val="0"/>
          <w:strike w:val="0"/>
          <w:noProof w:val="0"/>
          <w:color w:val="000000"/>
          <w:position w:val="0"/>
          <w:sz w:val="18"/>
          <w:u w:val="none"/>
          <w:vertAlign w:val="baseline"/>
        </w:rPr>
        <w:t xml:space="preserve"> (reversed district court findings and treated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appeal as a petition for review); </w:t>
      </w:r>
      <w:hyperlink r:id="rId127" w:history="1">
        <w:r>
          <w:rPr>
            <w:rFonts w:ascii="arial" w:eastAsia="arial" w:hAnsi="arial" w:cs="arial"/>
            <w:b w:val="0"/>
            <w:i/>
            <w:strike w:val="0"/>
            <w:noProof w:val="0"/>
            <w:color w:val="0077CC"/>
            <w:position w:val="0"/>
            <w:sz w:val="18"/>
            <w:u w:val="single"/>
            <w:shd w:val="clear" w:color="auto" w:fill="FFFFFF"/>
            <w:vertAlign w:val="baseline"/>
          </w:rPr>
          <w:t>Martinez-Rosas v. Gonzales, 424 F. 3d 926 (9th Cir. 2005)</w:t>
        </w:r>
      </w:hyperlink>
      <w:r>
        <w:rPr>
          <w:rFonts w:ascii="arial" w:eastAsia="arial" w:hAnsi="arial" w:cs="arial"/>
          <w:b w:val="0"/>
          <w:i w:val="0"/>
          <w:strike w:val="0"/>
          <w:noProof w:val="0"/>
          <w:color w:val="000000"/>
          <w:position w:val="0"/>
          <w:sz w:val="18"/>
          <w:u w:val="none"/>
          <w:vertAlign w:val="baseline"/>
        </w:rPr>
        <w:t xml:space="preserve"> (appeals of pending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petitions in circuit court treated as petitions for review de novo); </w:t>
      </w:r>
      <w:hyperlink r:id="rId128" w:history="1">
        <w:r>
          <w:rPr>
            <w:rFonts w:ascii="arial" w:eastAsia="arial" w:hAnsi="arial" w:cs="arial"/>
            <w:b w:val="0"/>
            <w:i/>
            <w:strike w:val="0"/>
            <w:noProof w:val="0"/>
            <w:color w:val="0077CC"/>
            <w:position w:val="0"/>
            <w:sz w:val="18"/>
            <w:u w:val="single"/>
            <w:shd w:val="clear" w:color="auto" w:fill="FFFFFF"/>
            <w:vertAlign w:val="baseline"/>
          </w:rPr>
          <w:t>Jama v. Gonzales, 431 F.3d 230 (5th Cir. 2005)</w:t>
        </w:r>
      </w:hyperlink>
      <w:r>
        <w:rPr>
          <w:rFonts w:ascii="arial" w:eastAsia="arial" w:hAnsi="arial" w:cs="arial"/>
          <w:b w:val="0"/>
          <w:i w:val="0"/>
          <w:strike w:val="0"/>
          <w:noProof w:val="0"/>
          <w:color w:val="000000"/>
          <w:position w:val="0"/>
          <w:sz w:val="18"/>
          <w:u w:val="none"/>
          <w:vertAlign w:val="baseline"/>
        </w:rPr>
        <w:t xml:space="preserve"> (maintaining case in improper venue because litigating in another forum would be unfair); </w:t>
      </w:r>
      <w:hyperlink r:id="rId86" w:history="1">
        <w:r>
          <w:rPr>
            <w:rFonts w:ascii="arial" w:eastAsia="arial" w:hAnsi="arial" w:cs="arial"/>
            <w:b w:val="0"/>
            <w:i/>
            <w:strike w:val="0"/>
            <w:noProof w:val="0"/>
            <w:color w:val="0077CC"/>
            <w:position w:val="0"/>
            <w:sz w:val="18"/>
            <w:u w:val="single"/>
            <w:shd w:val="clear" w:color="auto" w:fill="FFFFFF"/>
            <w:vertAlign w:val="baseline"/>
          </w:rPr>
          <w:t>Bonhometre v. Gonzales, 414 F.3d 442 (3d Cir. 2005)</w:t>
        </w:r>
      </w:hyperlink>
      <w:r>
        <w:rPr>
          <w:rFonts w:ascii="arial" w:eastAsia="arial" w:hAnsi="arial" w:cs="arial"/>
          <w:b w:val="0"/>
          <w:i w:val="0"/>
          <w:strike w:val="0"/>
          <w:noProof w:val="0"/>
          <w:color w:val="000000"/>
          <w:position w:val="0"/>
          <w:sz w:val="18"/>
          <w:u w:val="none"/>
          <w:vertAlign w:val="baseline"/>
        </w:rPr>
        <w:t xml:space="preserve"> (manifest injustice to not hear case in circuit where it was briefed and argued, even though removal hearing arose in a different circuit).</w:t>
      </w:r>
    </w:p>
  </w:footnote>
  <w:footnote w:id="7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79 </w:t>
      </w:r>
      <w:hyperlink r:id="rId129" w:history="1">
        <w:r>
          <w:rPr>
            <w:rFonts w:ascii="arial" w:eastAsia="arial" w:hAnsi="arial" w:cs="arial"/>
            <w:b w:val="0"/>
            <w:i/>
            <w:strike w:val="0"/>
            <w:noProof w:val="0"/>
            <w:color w:val="0077CC"/>
            <w:position w:val="0"/>
            <w:sz w:val="18"/>
            <w:u w:val="single"/>
            <w:shd w:val="clear" w:color="auto" w:fill="FFFFFF"/>
            <w:vertAlign w:val="baseline"/>
          </w:rPr>
          <w:t>Bowrin v. U.S. INS, 194 F.3d 483, 487 (4th Cir.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w:t>
        </w:r>
      </w:hyperlink>
      <w:r>
        <w:rPr>
          <w:rFonts w:ascii="arial" w:eastAsia="arial" w:hAnsi="arial" w:cs="arial"/>
          <w:b w:val="0"/>
          <w:i w:val="0"/>
          <w:strike w:val="0"/>
          <w:noProof w:val="0"/>
          <w:color w:val="000000"/>
          <w:position w:val="0"/>
          <w:sz w:val="18"/>
          <w:u w:val="none"/>
          <w:vertAlign w:val="baseline"/>
        </w:rPr>
        <w:t>.</w:t>
      </w:r>
    </w:p>
  </w:footnote>
  <w:footnote w:id="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80 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104.04[2][d]</w:t>
        </w:r>
      </w:hyperlink>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[e]</w:t>
        </w:r>
      </w:hyperlink>
      <w:r>
        <w:rPr>
          <w:rFonts w:ascii="arial" w:eastAsia="arial" w:hAnsi="arial" w:cs="arial"/>
          <w:b w:val="0"/>
          <w:i w:val="0"/>
          <w:strike w:val="0"/>
          <w:noProof w:val="0"/>
          <w:color w:val="000000"/>
          <w:position w:val="0"/>
          <w:sz w:val="18"/>
          <w:u w:val="none"/>
          <w:vertAlign w:val="baseline"/>
        </w:rPr>
        <w:t xml:space="preserve">. Under 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106(a)(10)</w:t>
        </w:r>
      </w:hyperlink>
      <w:r>
        <w:rPr>
          <w:rFonts w:ascii="arial" w:eastAsia="arial" w:hAnsi="arial" w:cs="arial"/>
          <w:b w:val="0"/>
          <w:i w:val="0"/>
          <w:strike w:val="0"/>
          <w:noProof w:val="0"/>
          <w:color w:val="000000"/>
          <w:position w:val="0"/>
          <w:sz w:val="18"/>
          <w:u w:val="none"/>
          <w:vertAlign w:val="baseline"/>
        </w:rPr>
        <w:t xml:space="preserve">, noncitizens in custody pursuant to an order of deportation could obtain review in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106(b)</w:t>
        </w:r>
      </w:hyperlink>
      <w:r>
        <w:rPr>
          <w:rFonts w:ascii="arial" w:eastAsia="arial" w:hAnsi="arial" w:cs="arial"/>
          <w:b w:val="0"/>
          <w:i w:val="0"/>
          <w:strike w:val="0"/>
          <w:noProof w:val="0"/>
          <w:color w:val="000000"/>
          <w:position w:val="0"/>
          <w:sz w:val="18"/>
          <w:u w:val="none"/>
          <w:vertAlign w:val="baseline"/>
        </w:rPr>
        <w:t xml:space="preserve"> said that the exclusive means of challenging an exclusion order was through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All of 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w:t>
        </w:r>
      </w:hyperlink>
      <w:r>
        <w:rPr>
          <w:rFonts w:ascii="arial" w:eastAsia="arial" w:hAnsi="arial" w:cs="arial"/>
          <w:b w:val="0"/>
          <w:i w:val="0"/>
          <w:strike w:val="0"/>
          <w:noProof w:val="0"/>
          <w:color w:val="000000"/>
          <w:position w:val="0"/>
          <w:sz w:val="18"/>
          <w:u w:val="none"/>
          <w:vertAlign w:val="baseline"/>
        </w:rPr>
        <w:t xml:space="preserve"> was repealed in 1996 by IIRAIRA § 306(b).</w:t>
      </w:r>
    </w:p>
  </w:footnote>
  <w:footnote w:id="81">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81 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30" w:history="1">
        <w:r>
          <w:rPr>
            <w:rFonts w:ascii="arial" w:eastAsia="arial" w:hAnsi="arial" w:cs="arial"/>
            <w:b w:val="0"/>
            <w:i/>
            <w:strike w:val="0"/>
            <w:noProof w:val="0"/>
            <w:color w:val="0077CC"/>
            <w:position w:val="0"/>
            <w:sz w:val="18"/>
            <w:u w:val="single"/>
            <w:shd w:val="clear" w:color="auto" w:fill="FFFFFF"/>
            <w:vertAlign w:val="baseline"/>
          </w:rPr>
          <w:t>Dhangu v. INS, 812 F.2d 455, 457–59 (9th Cir. 1987)</w:t>
        </w:r>
      </w:hyperlink>
      <w:r>
        <w:rPr>
          <w:rFonts w:ascii="arial" w:eastAsia="arial" w:hAnsi="arial" w:cs="arial"/>
          <w:b w:val="0"/>
          <w:i w:val="0"/>
          <w:strike w:val="0"/>
          <w:noProof w:val="0"/>
          <w:color w:val="000000"/>
          <w:position w:val="0"/>
          <w:sz w:val="18"/>
          <w:u w:val="none"/>
          <w:vertAlign w:val="baseline"/>
        </w:rPr>
        <w:t xml:space="preserve"> (summarizing cases).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131" w:history="1">
        <w:r>
          <w:rPr>
            <w:rFonts w:ascii="arial" w:eastAsia="arial" w:hAnsi="arial" w:cs="arial"/>
            <w:b w:val="0"/>
            <w:i/>
            <w:strike w:val="0"/>
            <w:noProof w:val="0"/>
            <w:color w:val="0077CC"/>
            <w:position w:val="0"/>
            <w:sz w:val="18"/>
            <w:u w:val="single"/>
            <w:shd w:val="clear" w:color="auto" w:fill="FFFFFF"/>
            <w:vertAlign w:val="baseline"/>
          </w:rPr>
          <w:t>Dibi v. Moyer, 801 F. Supp. 214 (E.D. Wis. 1992)</w:t>
        </w:r>
      </w:hyperlink>
      <w:r>
        <w:rPr>
          <w:rFonts w:ascii="arial" w:eastAsia="arial" w:hAnsi="arial" w:cs="arial"/>
          <w:b w:val="0"/>
          <w:i w:val="0"/>
          <w:strike w:val="0"/>
          <w:noProof w:val="0"/>
          <w:color w:val="000000"/>
          <w:position w:val="0"/>
          <w:sz w:val="18"/>
          <w:u w:val="none"/>
          <w:vertAlign w:val="baseline"/>
        </w:rPr>
        <w:t xml:space="preserve"> (district courts have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to review discretionary denials by INS District Directors, but not by immigration judges or the BIA);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32" w:history="1">
        <w:r>
          <w:rPr>
            <w:rFonts w:ascii="arial" w:eastAsia="arial" w:hAnsi="arial" w:cs="arial"/>
            <w:b w:val="0"/>
            <w:i/>
            <w:strike w:val="0"/>
            <w:noProof w:val="0"/>
            <w:color w:val="0077CC"/>
            <w:position w:val="0"/>
            <w:sz w:val="18"/>
            <w:u w:val="single"/>
            <w:shd w:val="clear" w:color="auto" w:fill="FFFFFF"/>
            <w:vertAlign w:val="baseline"/>
          </w:rPr>
          <w:t>Anderson v. McElroy, 953 F.2d 803, 805 (2d Cir. 1992)</w:t>
        </w:r>
      </w:hyperlink>
      <w:r>
        <w:rPr>
          <w:rFonts w:ascii="arial" w:eastAsia="arial" w:hAnsi="arial" w:cs="arial"/>
          <w:b w:val="0"/>
          <w:i w:val="0"/>
          <w:strike w:val="0"/>
          <w:noProof w:val="0"/>
          <w:color w:val="000000"/>
          <w:position w:val="0"/>
          <w:sz w:val="18"/>
          <w:u w:val="none"/>
          <w:vertAlign w:val="baseline"/>
        </w:rPr>
        <w:t xml:space="preserve"> (district court had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to review BIA’s denial of motion for a stay of deportation); </w:t>
      </w:r>
      <w:hyperlink r:id="rId133" w:history="1">
        <w:r>
          <w:rPr>
            <w:rFonts w:ascii="arial" w:eastAsia="arial" w:hAnsi="arial" w:cs="arial"/>
            <w:b w:val="0"/>
            <w:i/>
            <w:strike w:val="0"/>
            <w:noProof w:val="0"/>
            <w:color w:val="0077CC"/>
            <w:position w:val="0"/>
            <w:sz w:val="18"/>
            <w:u w:val="single"/>
            <w:shd w:val="clear" w:color="auto" w:fill="FFFFFF"/>
            <w:vertAlign w:val="baseline"/>
          </w:rPr>
          <w:t>Blancada v. Turnage, 891 F.2d 688 (9th Cir. 1989)</w:t>
        </w:r>
      </w:hyperlink>
      <w:r>
        <w:rPr>
          <w:rFonts w:ascii="arial" w:eastAsia="arial" w:hAnsi="arial" w:cs="arial"/>
          <w:b w:val="0"/>
          <w:i w:val="0"/>
          <w:strike w:val="0"/>
          <w:noProof w:val="0"/>
          <w:color w:val="000000"/>
          <w:position w:val="0"/>
          <w:sz w:val="18"/>
          <w:u w:val="none"/>
          <w:vertAlign w:val="baseline"/>
        </w:rPr>
        <w:t xml:space="preserve"> (District Director abused discretion in denying stay, because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contained relevant constitutional question); </w:t>
      </w:r>
      <w:hyperlink r:id="rId134" w:history="1">
        <w:r>
          <w:rPr>
            <w:rFonts w:ascii="arial" w:eastAsia="arial" w:hAnsi="arial" w:cs="arial"/>
            <w:b w:val="0"/>
            <w:i/>
            <w:strike w:val="0"/>
            <w:noProof w:val="0"/>
            <w:color w:val="0077CC"/>
            <w:position w:val="0"/>
            <w:sz w:val="18"/>
            <w:u w:val="single"/>
            <w:shd w:val="clear" w:color="auto" w:fill="FFFFFF"/>
            <w:vertAlign w:val="baseline"/>
          </w:rPr>
          <w:t>Narayan v. Ilchert, 799 F. Supp. 1047, 1049 (N.D. Cal. 1992)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was proper where BIA denied motion to stay).</w:t>
      </w:r>
    </w:p>
  </w:footnote>
  <w:footnote w:id="82">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82 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6" w:history="1">
        <w:r>
          <w:rPr>
            <w:rFonts w:ascii="arial" w:eastAsia="arial" w:hAnsi="arial" w:cs="arial"/>
            <w:b w:val="0"/>
            <w:i/>
            <w:strike w:val="0"/>
            <w:noProof w:val="0"/>
            <w:color w:val="0077CC"/>
            <w:position w:val="0"/>
            <w:sz w:val="18"/>
            <w:u w:val="single"/>
            <w:shd w:val="clear" w:color="auto" w:fill="FFFFFF"/>
            <w:vertAlign w:val="baseline"/>
          </w:rPr>
          <w:t>Amanullah v. Nelson, 811 F.2d 1 (1st Cir. 1987)</w:t>
        </w:r>
      </w:hyperlink>
      <w:r>
        <w:rPr>
          <w:rFonts w:ascii="arial" w:eastAsia="arial" w:hAnsi="arial" w:cs="arial"/>
          <w:b w:val="0"/>
          <w:i w:val="0"/>
          <w:strike w:val="0"/>
          <w:noProof w:val="0"/>
          <w:color w:val="000000"/>
          <w:position w:val="0"/>
          <w:sz w:val="18"/>
          <w:u w:val="none"/>
          <w:vertAlign w:val="baseline"/>
        </w:rPr>
        <w:t xml:space="preserve"> (noncitizens detained in exclusion proceedings brought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actions).</w:t>
      </w:r>
    </w:p>
  </w:footnote>
  <w:footnote w:id="83">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83 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35" w:history="1">
        <w:r>
          <w:rPr>
            <w:rFonts w:ascii="arial" w:eastAsia="arial" w:hAnsi="arial" w:cs="arial"/>
            <w:b w:val="0"/>
            <w:i/>
            <w:strike w:val="0"/>
            <w:noProof w:val="0"/>
            <w:color w:val="0077CC"/>
            <w:position w:val="0"/>
            <w:sz w:val="18"/>
            <w:u w:val="single"/>
            <w:shd w:val="clear" w:color="auto" w:fill="FFFFFF"/>
            <w:vertAlign w:val="baseline"/>
          </w:rPr>
          <w:t>Ajurulloski v. INS, 688 F. Supp. 1272 (N.D. Ill. 1988)</w:t>
        </w:r>
      </w:hyperlink>
      <w:r>
        <w:rPr>
          <w:rFonts w:ascii="arial" w:eastAsia="arial" w:hAnsi="arial" w:cs="arial"/>
          <w:b w:val="0"/>
          <w:i w:val="0"/>
          <w:strike w:val="0"/>
          <w:noProof w:val="0"/>
          <w:color w:val="000000"/>
          <w:position w:val="0"/>
          <w:sz w:val="18"/>
          <w:u w:val="none"/>
          <w:vertAlign w:val="baseline"/>
        </w:rPr>
        <w:t>.</w:t>
      </w:r>
    </w:p>
  </w:footnote>
  <w:footnote w:id="84">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84 </w:t>
      </w:r>
      <w:hyperlink r:id="rId136" w:history="1">
        <w:r>
          <w:rPr>
            <w:rFonts w:ascii="arial" w:eastAsia="arial" w:hAnsi="arial" w:cs="arial"/>
            <w:b w:val="0"/>
            <w:i/>
            <w:strike w:val="0"/>
            <w:noProof w:val="0"/>
            <w:color w:val="0077CC"/>
            <w:position w:val="0"/>
            <w:sz w:val="18"/>
            <w:u w:val="single"/>
            <w:shd w:val="clear" w:color="auto" w:fill="FFFFFF"/>
            <w:vertAlign w:val="baseline"/>
          </w:rPr>
          <w:t>Marczak v. Greene, 971 F.2d 510 (10th Cir. 1992)</w:t>
        </w:r>
      </w:hyperlink>
      <w:r>
        <w:rPr>
          <w:rFonts w:ascii="arial" w:eastAsia="arial" w:hAnsi="arial" w:cs="arial"/>
          <w:b w:val="0"/>
          <w:i w:val="0"/>
          <w:strike w:val="0"/>
          <w:noProof w:val="0"/>
          <w:color w:val="000000"/>
          <w:position w:val="0"/>
          <w:sz w:val="18"/>
          <w:u w:val="none"/>
          <w:vertAlign w:val="baseline"/>
        </w:rPr>
        <w:t>.</w:t>
      </w:r>
    </w:p>
  </w:footnote>
  <w:footnote w:id="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85 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(2001)</w:t>
        </w:r>
      </w:hyperlink>
      <w:r>
        <w:rPr>
          <w:rFonts w:ascii="arial" w:eastAsia="arial" w:hAnsi="arial" w:cs="arial"/>
          <w:b w:val="0"/>
          <w:i w:val="0"/>
          <w:strike w:val="0"/>
          <w:noProof w:val="0"/>
          <w:color w:val="000000"/>
          <w:position w:val="0"/>
          <w:sz w:val="18"/>
          <w:u w:val="none"/>
          <w:vertAlign w:val="baseline"/>
        </w:rPr>
        <w:t>.</w:t>
      </w:r>
    </w:p>
  </w:footnote>
  <w:footnote w:id="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86 </w:t>
      </w:r>
      <w:hyperlink r:id="rId137" w:history="1">
        <w:r>
          <w:rPr>
            <w:rFonts w:ascii="arial" w:eastAsia="arial" w:hAnsi="arial" w:cs="arial"/>
            <w:b w:val="0"/>
            <w:i/>
            <w:strike w:val="0"/>
            <w:noProof w:val="0"/>
            <w:color w:val="0077CC"/>
            <w:position w:val="0"/>
            <w:sz w:val="18"/>
            <w:u w:val="single"/>
            <w:shd w:val="clear" w:color="auto" w:fill="FFFFFF"/>
            <w:vertAlign w:val="baseline"/>
          </w:rPr>
          <w:t>Sandoval v. Reno, 166 F.3d 225, 238 (3d Cir. 1999)</w:t>
        </w:r>
      </w:hyperlink>
      <w:r>
        <w:rPr>
          <w:rFonts w:ascii="arial" w:eastAsia="arial" w:hAnsi="arial" w:cs="arial"/>
          <w:b w:val="0"/>
          <w:i w:val="0"/>
          <w:strike w:val="0"/>
          <w:noProof w:val="0"/>
          <w:color w:val="000000"/>
          <w:position w:val="0"/>
          <w:sz w:val="18"/>
          <w:u w:val="none"/>
          <w:vertAlign w:val="baseline"/>
        </w:rPr>
        <w:t xml:space="preserve"> (citing </w:t>
      </w:r>
      <w:hyperlink r:id="rId45" w:history="1">
        <w:r>
          <w:rPr>
            <w:rFonts w:ascii="arial" w:eastAsia="arial" w:hAnsi="arial" w:cs="arial"/>
            <w:b w:val="0"/>
            <w:i/>
            <w:strike w:val="0"/>
            <w:noProof w:val="0"/>
            <w:color w:val="0077CC"/>
            <w:position w:val="0"/>
            <w:sz w:val="18"/>
            <w:u w:val="single"/>
            <w:shd w:val="clear" w:color="auto" w:fill="FFFFFF"/>
            <w:vertAlign w:val="baseline"/>
          </w:rPr>
          <w:t>Heikkila v. Barber, 345 U.S. 229, 234–35 (1953))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accord</w:t>
      </w:r>
      <w:r>
        <w:rPr>
          <w:rFonts w:ascii="arial" w:eastAsia="arial" w:hAnsi="arial" w:cs="arial"/>
          <w:b w:val="0"/>
          <w:i w:val="0"/>
          <w:strike w:val="0"/>
          <w:noProof w:val="0"/>
          <w:color w:val="000000"/>
          <w:position w:val="0"/>
          <w:sz w:val="18"/>
          <w:u w:val="none"/>
          <w:vertAlign w:val="baseline"/>
        </w:rPr>
        <w:t xml:space="preserve"> </w:t>
      </w:r>
      <w:hyperlink r:id="rId129" w:history="1">
        <w:r>
          <w:rPr>
            <w:rFonts w:ascii="arial" w:eastAsia="arial" w:hAnsi="arial" w:cs="arial"/>
            <w:b w:val="0"/>
            <w:i/>
            <w:strike w:val="0"/>
            <w:noProof w:val="0"/>
            <w:color w:val="0077CC"/>
            <w:position w:val="0"/>
            <w:sz w:val="18"/>
            <w:u w:val="single"/>
            <w:shd w:val="clear" w:color="auto" w:fill="FFFFFF"/>
            <w:vertAlign w:val="baseline"/>
          </w:rPr>
          <w:t>Bowrin v. U.S. INS, 194 F.3d 483, 490 (4th Cir. 1999)</w:t>
        </w:r>
      </w:hyperlink>
      <w:r>
        <w:rPr>
          <w:rFonts w:ascii="arial" w:eastAsia="arial" w:hAnsi="arial" w:cs="arial"/>
          <w:b w:val="0"/>
          <w:i w:val="0"/>
          <w:strike w:val="0"/>
          <w:noProof w:val="0"/>
          <w:color w:val="000000"/>
          <w:position w:val="0"/>
          <w:sz w:val="18"/>
          <w:u w:val="none"/>
          <w:vertAlign w:val="baseline"/>
        </w:rPr>
        <w:t>.</w:t>
      </w:r>
    </w:p>
  </w:footnote>
  <w:footnote w:id="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87 </w:t>
      </w:r>
      <w:hyperlink r:id="rId8" w:history="1">
        <w:r>
          <w:rPr>
            <w:rFonts w:ascii="arial" w:eastAsia="arial" w:hAnsi="arial" w:cs="arial"/>
            <w:b w:val="0"/>
            <w:i/>
            <w:strike w:val="0"/>
            <w:noProof w:val="0"/>
            <w:color w:val="0077CC"/>
            <w:position w:val="0"/>
            <w:sz w:val="18"/>
            <w:u w:val="single"/>
            <w:shd w:val="clear" w:color="auto" w:fill="FFFFFF"/>
            <w:vertAlign w:val="baseline"/>
          </w:rPr>
          <w:t>Pak v. Reno, 196 F.3d 666, 674 (6th Cir. 1999)</w:t>
        </w:r>
      </w:hyperlink>
      <w:r>
        <w:rPr>
          <w:rFonts w:ascii="arial" w:eastAsia="arial" w:hAnsi="arial" w:cs="arial"/>
          <w:b w:val="0"/>
          <w:i w:val="0"/>
          <w:strike w:val="0"/>
          <w:noProof w:val="0"/>
          <w:color w:val="000000"/>
          <w:position w:val="0"/>
          <w:sz w:val="18"/>
          <w:u w:val="none"/>
          <w:vertAlign w:val="baseline"/>
        </w:rPr>
        <w:t xml:space="preserve">; </w:t>
      </w:r>
      <w:hyperlink r:id="rId129" w:history="1">
        <w:r>
          <w:rPr>
            <w:rFonts w:ascii="arial" w:eastAsia="arial" w:hAnsi="arial" w:cs="arial"/>
            <w:b w:val="0"/>
            <w:i/>
            <w:strike w:val="0"/>
            <w:noProof w:val="0"/>
            <w:color w:val="0077CC"/>
            <w:position w:val="0"/>
            <w:sz w:val="18"/>
            <w:u w:val="single"/>
            <w:shd w:val="clear" w:color="auto" w:fill="FFFFFF"/>
            <w:vertAlign w:val="baseline"/>
          </w:rPr>
          <w:t>Bowrin v. U.S. INS, 194 F.3d 483, 490 (4th Cir. 1999)</w:t>
        </w:r>
      </w:hyperlink>
      <w:r>
        <w:rPr>
          <w:rFonts w:ascii="arial" w:eastAsia="arial" w:hAnsi="arial" w:cs="arial"/>
          <w:b w:val="0"/>
          <w:i w:val="0"/>
          <w:strike w:val="0"/>
          <w:noProof w:val="0"/>
          <w:color w:val="000000"/>
          <w:position w:val="0"/>
          <w:sz w:val="18"/>
          <w:u w:val="none"/>
          <w:vertAlign w:val="baseline"/>
        </w:rPr>
        <w:t xml:space="preserve"> (following </w:t>
      </w:r>
      <w:hyperlink r:id="rId25" w:history="1">
        <w:r>
          <w:rPr>
            <w:rFonts w:ascii="arial" w:eastAsia="arial" w:hAnsi="arial" w:cs="arial"/>
            <w:b w:val="0"/>
            <w:i/>
            <w:strike w:val="0"/>
            <w:noProof w:val="0"/>
            <w:color w:val="0077CC"/>
            <w:position w:val="0"/>
            <w:sz w:val="18"/>
            <w:u w:val="single"/>
            <w:shd w:val="clear" w:color="auto" w:fill="FFFFFF"/>
            <w:vertAlign w:val="baseline"/>
          </w:rPr>
          <w:t>Goncalves v. Reno, 144 F.3d 110, 123 (1st Cir. 1998))</w:t>
        </w:r>
      </w:hyperlink>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120 n.11 (2d Cir. 1998)</w:t>
        </w:r>
      </w:hyperlink>
      <w:r>
        <w:rPr>
          <w:rFonts w:ascii="arial" w:eastAsia="arial" w:hAnsi="arial" w:cs="arial"/>
          <w:b w:val="0"/>
          <w:i w:val="0"/>
          <w:strike w:val="0"/>
          <w:noProof w:val="0"/>
          <w:color w:val="000000"/>
          <w:position w:val="0"/>
          <w:sz w:val="18"/>
          <w:u w:val="none"/>
          <w:vertAlign w:val="baseline"/>
        </w:rPr>
        <w:t>.</w:t>
      </w:r>
    </w:p>
  </w:footnote>
  <w:footnote w:id="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88 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311–13 (2001)</w:t>
        </w:r>
      </w:hyperlink>
      <w:r>
        <w:rPr>
          <w:rFonts w:ascii="arial" w:eastAsia="arial" w:hAnsi="arial" w:cs="arial"/>
          <w:b w:val="0"/>
          <w:i w:val="0"/>
          <w:strike w:val="0"/>
          <w:noProof w:val="0"/>
          <w:color w:val="000000"/>
          <w:position w:val="0"/>
          <w:sz w:val="18"/>
          <w:u w:val="none"/>
          <w:vertAlign w:val="baseline"/>
        </w:rPr>
        <w:t>.</w:t>
      </w:r>
    </w:p>
  </w:footnote>
  <w:footnote w:id="8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89 </w:t>
      </w:r>
      <w:hyperlink r:id="rId18"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at 306</w:t>
        </w:r>
      </w:hyperlink>
      <w:r>
        <w:rPr>
          <w:rFonts w:ascii="arial" w:eastAsia="arial" w:hAnsi="arial" w:cs="arial"/>
          <w:b w:val="0"/>
          <w:i w:val="0"/>
          <w:strike w:val="0"/>
          <w:noProof w:val="0"/>
          <w:color w:val="000000"/>
          <w:position w:val="0"/>
          <w:sz w:val="18"/>
          <w:u w:val="none"/>
          <w:vertAlign w:val="baseline"/>
        </w:rPr>
        <w:t xml:space="preserve"> (“other than the question whether there was some evidence to support the order, the courts generally did not review factual determinations made by the Executive.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139" w:history="1">
        <w:r>
          <w:rPr>
            <w:rFonts w:ascii="arial" w:eastAsia="arial" w:hAnsi="arial" w:cs="arial"/>
            <w:b w:val="0"/>
            <w:i/>
            <w:strike w:val="0"/>
            <w:noProof w:val="0"/>
            <w:color w:val="0077CC"/>
            <w:position w:val="0"/>
            <w:sz w:val="18"/>
            <w:u w:val="single"/>
            <w:shd w:val="clear" w:color="auto" w:fill="FFFFFF"/>
            <w:vertAlign w:val="baseline"/>
          </w:rPr>
          <w:t>Ekiu v. United States, 142 U.S. 651, 659 (1892)</w:t>
        </w:r>
      </w:hyperlink>
      <w:r>
        <w:rPr>
          <w:rFonts w:ascii="arial" w:eastAsia="arial" w:hAnsi="arial" w:cs="arial"/>
          <w:b w:val="0"/>
          <w:i w:val="0"/>
          <w:strike w:val="0"/>
          <w:noProof w:val="0"/>
          <w:color w:val="000000"/>
          <w:position w:val="0"/>
          <w:sz w:val="18"/>
          <w:u w:val="none"/>
          <w:vertAlign w:val="baseline"/>
        </w:rPr>
        <w:t xml:space="preserve">” (footnote omitted));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40" w:history="1">
        <w:r>
          <w:rPr>
            <w:rFonts w:ascii="arial" w:eastAsia="arial" w:hAnsi="arial" w:cs="arial"/>
            <w:b w:val="0"/>
            <w:i/>
            <w:strike w:val="0"/>
            <w:noProof w:val="0"/>
            <w:color w:val="0077CC"/>
            <w:position w:val="0"/>
            <w:sz w:val="18"/>
            <w:u w:val="single"/>
            <w:shd w:val="clear" w:color="auto" w:fill="FFFFFF"/>
            <w:vertAlign w:val="baseline"/>
          </w:rPr>
          <w:t>Bravo v. Ashcroft, 341 F.3d 590 (5th Cir. 2003)</w:t>
        </w:r>
      </w:hyperlink>
      <w:r>
        <w:rPr>
          <w:rFonts w:ascii="arial" w:eastAsia="arial" w:hAnsi="arial" w:cs="arial"/>
          <w:b w:val="0"/>
          <w:i w:val="0"/>
          <w:strike w:val="0"/>
          <w:noProof w:val="0"/>
          <w:color w:val="000000"/>
          <w:position w:val="0"/>
          <w:sz w:val="18"/>
          <w:u w:val="none"/>
          <w:vertAlign w:val="baseline"/>
        </w:rPr>
        <w:t xml:space="preserve"> (discretionary determination made by the IJ is not a proper subject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w:t>
      </w:r>
      <w:hyperlink r:id="rId141" w:history="1">
        <w:r>
          <w:rPr>
            <w:rFonts w:ascii="arial" w:eastAsia="arial" w:hAnsi="arial" w:cs="arial"/>
            <w:b w:val="0"/>
            <w:i/>
            <w:strike w:val="0"/>
            <w:noProof w:val="0"/>
            <w:color w:val="0077CC"/>
            <w:position w:val="0"/>
            <w:sz w:val="18"/>
            <w:u w:val="single"/>
            <w:shd w:val="clear" w:color="auto" w:fill="FFFFFF"/>
            <w:vertAlign w:val="baseline"/>
          </w:rPr>
          <w:t>Gutierrez-Chavez v. INS, 298 F.3d 824, 829–30 (9th Cir. 2002)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amended</w:t>
      </w:r>
      <w:r>
        <w:rPr>
          <w:rFonts w:ascii="arial" w:eastAsia="arial" w:hAnsi="arial" w:cs="arial"/>
          <w:b w:val="0"/>
          <w:i w:val="0"/>
          <w:strike w:val="0"/>
          <w:noProof w:val="0"/>
          <w:color w:val="000000"/>
          <w:position w:val="0"/>
          <w:sz w:val="18"/>
          <w:u w:val="none"/>
          <w:vertAlign w:val="baseline"/>
        </w:rPr>
        <w:t xml:space="preserve">, </w:t>
      </w:r>
      <w:hyperlink r:id="rId142" w:history="1">
        <w:r>
          <w:rPr>
            <w:rFonts w:ascii="arial" w:eastAsia="arial" w:hAnsi="arial" w:cs="arial"/>
            <w:b w:val="0"/>
            <w:i/>
            <w:strike w:val="0"/>
            <w:noProof w:val="0"/>
            <w:color w:val="0077CC"/>
            <w:position w:val="0"/>
            <w:sz w:val="18"/>
            <w:u w:val="single"/>
            <w:shd w:val="clear" w:color="auto" w:fill="FFFFFF"/>
            <w:vertAlign w:val="baseline"/>
          </w:rPr>
          <w:t>337 F.3d 1023 (9th Cir. 2003)</w:t>
        </w:r>
      </w:hyperlink>
      <w:r>
        <w:rPr>
          <w:rFonts w:ascii="arial" w:eastAsia="arial" w:hAnsi="arial" w:cs="arial"/>
          <w:b w:val="0"/>
          <w:i w:val="0"/>
          <w:strike w:val="0"/>
          <w:noProof w:val="0"/>
          <w:color w:val="000000"/>
          <w:position w:val="0"/>
          <w:sz w:val="18"/>
          <w:u w:val="none"/>
          <w:vertAlign w:val="baseline"/>
        </w:rPr>
        <w:t xml:space="preserve"> (“Aliens may file § 2241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petitions that allege constitutional or statutory error in the removal process. …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petitions that, on the other hand, do not allege such error but simply seek to change the discretionary result reached by the INS are not within the scope of § 2241 and should be denied.”); </w:t>
      </w:r>
      <w:hyperlink r:id="rId143" w:history="1">
        <w:r>
          <w:rPr>
            <w:rFonts w:ascii="arial" w:eastAsia="arial" w:hAnsi="arial" w:cs="arial"/>
            <w:b w:val="0"/>
            <w:i/>
            <w:strike w:val="0"/>
            <w:noProof w:val="0"/>
            <w:color w:val="0077CC"/>
            <w:position w:val="0"/>
            <w:sz w:val="18"/>
            <w:u w:val="single"/>
            <w:shd w:val="clear" w:color="auto" w:fill="FFFFFF"/>
            <w:vertAlign w:val="baseline"/>
          </w:rPr>
          <w:t>Smith v. Ashcroft, 295 F.3d 425, 430 (4th Cir. 2002)</w:t>
        </w:r>
      </w:hyperlink>
      <w:r>
        <w:rPr>
          <w:rFonts w:ascii="arial" w:eastAsia="arial" w:hAnsi="arial" w:cs="arial"/>
          <w:b w:val="0"/>
          <w:i w:val="0"/>
          <w:strike w:val="0"/>
          <w:noProof w:val="0"/>
          <w:color w:val="000000"/>
          <w:position w:val="0"/>
          <w:sz w:val="18"/>
          <w:u w:val="none"/>
          <w:vertAlign w:val="baseline"/>
        </w:rPr>
        <w:t xml:space="preserve"> (“discretionary statutory ‘rights’ do not create liberty or property interests protected by the Due Process Clause” that would render them reviewable through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Note that the Ninth Circuit appears to contemplate the possibility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to address “manifest injustice” that could result from discretionary decisions. </w:t>
      </w:r>
      <w:hyperlink r:id="rId141" w:history="1">
        <w:r>
          <w:rPr>
            <w:rFonts w:ascii="arial" w:eastAsia="arial" w:hAnsi="arial" w:cs="arial"/>
            <w:b w:val="0"/>
            <w:i/>
            <w:strike w:val="0"/>
            <w:noProof w:val="0"/>
            <w:color w:val="0077CC"/>
            <w:position w:val="0"/>
            <w:sz w:val="18"/>
            <w:u w:val="single"/>
            <w:shd w:val="clear" w:color="auto" w:fill="FFFFFF"/>
            <w:vertAlign w:val="baseline"/>
          </w:rPr>
          <w:t>Gutierrez-Chavez</w:t>
        </w:r>
      </w:hyperlink>
      <w:hyperlink r:id="rId141" w:history="1">
        <w:r>
          <w:rPr>
            <w:rFonts w:ascii="arial" w:eastAsia="arial" w:hAnsi="arial" w:cs="arial"/>
            <w:b w:val="0"/>
            <w:i/>
            <w:strike w:val="0"/>
            <w:noProof w:val="0"/>
            <w:color w:val="0077CC"/>
            <w:position w:val="0"/>
            <w:sz w:val="18"/>
            <w:u w:val="single"/>
            <w:shd w:val="clear" w:color="auto" w:fill="FFFFFF"/>
            <w:vertAlign w:val="baseline"/>
          </w:rPr>
          <w:t>, 298 F.3d at 829 n.4</w:t>
        </w:r>
      </w:hyperlink>
      <w:r>
        <w:rPr>
          <w:rFonts w:ascii="arial" w:eastAsia="arial" w:hAnsi="arial" w:cs="arial"/>
          <w:b w:val="0"/>
          <w:i w:val="0"/>
          <w:strike w:val="0"/>
          <w:noProof w:val="0"/>
          <w:color w:val="000000"/>
          <w:position w:val="0"/>
          <w:sz w:val="18"/>
          <w:u w:val="none"/>
          <w:vertAlign w:val="baseline"/>
        </w:rPr>
        <w:t>.</w:t>
      </w:r>
    </w:p>
  </w:footnote>
  <w:footnote w:id="9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90 </w:t>
      </w:r>
      <w:hyperlink r:id="rId129" w:history="1">
        <w:r>
          <w:rPr>
            <w:rFonts w:ascii="arial" w:eastAsia="arial" w:hAnsi="arial" w:cs="arial"/>
            <w:b w:val="0"/>
            <w:i/>
            <w:strike w:val="0"/>
            <w:noProof w:val="0"/>
            <w:color w:val="0077CC"/>
            <w:position w:val="0"/>
            <w:sz w:val="18"/>
            <w:u w:val="single"/>
            <w:shd w:val="clear" w:color="auto" w:fill="FFFFFF"/>
            <w:vertAlign w:val="baseline"/>
          </w:rPr>
          <w:t>Bowrin v. U.S. INS, 194 F.3d 483, 490 (4th Cir. 1999)</w:t>
        </w:r>
      </w:hyperlink>
      <w:r>
        <w:rPr>
          <w:rFonts w:ascii="arial" w:eastAsia="arial" w:hAnsi="arial" w:cs="arial"/>
          <w:b w:val="0"/>
          <w:i w:val="0"/>
          <w:strike w:val="0"/>
          <w:noProof w:val="0"/>
          <w:color w:val="000000"/>
          <w:position w:val="0"/>
          <w:sz w:val="18"/>
          <w:u w:val="none"/>
          <w:vertAlign w:val="baseline"/>
        </w:rPr>
        <w:t>.</w:t>
      </w:r>
    </w:p>
  </w:footnote>
  <w:footnote w:id="9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91 </w:t>
      </w:r>
      <w:hyperlink r:id="rId144" w:history="1">
        <w:r>
          <w:rPr>
            <w:rFonts w:ascii="arial" w:eastAsia="arial" w:hAnsi="arial" w:cs="arial"/>
            <w:b w:val="0"/>
            <w:i/>
            <w:strike w:val="0"/>
            <w:noProof w:val="0"/>
            <w:color w:val="0077CC"/>
            <w:position w:val="0"/>
            <w:sz w:val="18"/>
            <w:u w:val="single"/>
            <w:shd w:val="clear" w:color="auto" w:fill="FFFFFF"/>
            <w:vertAlign w:val="baseline"/>
          </w:rPr>
          <w:t>Wang v. Ashcroft, 320 F.3d 130, 143 (2d Cir.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151 Cong. Rec. H2813, H2873 (May 3, 2005) (mixed questions of law and fact remain fair game for the appellate courts after passage of the REAL ID Act).</w:t>
      </w:r>
    </w:p>
  </w:footnote>
  <w:footnote w:id="9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92 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45" w:history="1">
        <w:r>
          <w:rPr>
            <w:rFonts w:ascii="arial" w:eastAsia="arial" w:hAnsi="arial" w:cs="arial"/>
            <w:b w:val="0"/>
            <w:i/>
            <w:strike w:val="0"/>
            <w:noProof w:val="0"/>
            <w:color w:val="0077CC"/>
            <w:position w:val="0"/>
            <w:sz w:val="18"/>
            <w:u w:val="single"/>
            <w:shd w:val="clear" w:color="auto" w:fill="FFFFFF"/>
            <w:vertAlign w:val="baseline"/>
          </w:rPr>
          <w:t>Carranza v. INS, 277 F.3d 65, 71 (1st Cir. 2002)</w:t>
        </w:r>
      </w:hyperlink>
      <w:r>
        <w:rPr>
          <w:rFonts w:ascii="arial" w:eastAsia="arial" w:hAnsi="arial" w:cs="arial"/>
          <w:b w:val="0"/>
          <w:i w:val="0"/>
          <w:strike w:val="0"/>
          <w:noProof w:val="0"/>
          <w:color w:val="000000"/>
          <w:position w:val="0"/>
          <w:sz w:val="18"/>
          <w:u w:val="none"/>
          <w:vertAlign w:val="baseline"/>
        </w:rPr>
        <w:t xml:space="preserve"> (“the alien had a right to the process, enforceable by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if need be, but no right to a particular result”); </w:t>
      </w:r>
      <w:hyperlink r:id="rId146" w:history="1">
        <w:r>
          <w:rPr>
            <w:rFonts w:ascii="arial" w:eastAsia="arial" w:hAnsi="arial" w:cs="arial"/>
            <w:b w:val="0"/>
            <w:i/>
            <w:strike w:val="0"/>
            <w:noProof w:val="0"/>
            <w:color w:val="0077CC"/>
            <w:position w:val="0"/>
            <w:sz w:val="18"/>
            <w:u w:val="single"/>
            <w:shd w:val="clear" w:color="auto" w:fill="FFFFFF"/>
            <w:vertAlign w:val="baseline"/>
          </w:rPr>
          <w:t>Sierra v. INS, 258 F.3d 1213, 1217, 1219–20 (10th Cir. 2001)</w:t>
        </w:r>
      </w:hyperlink>
      <w:r>
        <w:rPr>
          <w:rFonts w:ascii="arial" w:eastAsia="arial" w:hAnsi="arial" w:cs="arial"/>
          <w:b w:val="0"/>
          <w:i w:val="0"/>
          <w:strike w:val="0"/>
          <w:noProof w:val="0"/>
          <w:color w:val="000000"/>
          <w:position w:val="0"/>
          <w:sz w:val="18"/>
          <w:u w:val="none"/>
          <w:vertAlign w:val="baseline"/>
        </w:rPr>
        <w:t xml:space="preserve"> (court had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to review manner in which Cuban Review Panel was conducted; denial of a hearing by the panel comported with due process); </w:t>
      </w:r>
      <w:hyperlink r:id="rId147" w:history="1">
        <w:r>
          <w:rPr>
            <w:rFonts w:ascii="arial" w:eastAsia="arial" w:hAnsi="arial" w:cs="arial"/>
            <w:b w:val="0"/>
            <w:i/>
            <w:strike w:val="0"/>
            <w:noProof w:val="0"/>
            <w:color w:val="0077CC"/>
            <w:position w:val="0"/>
            <w:sz w:val="18"/>
            <w:u w:val="single"/>
            <w:shd w:val="clear" w:color="auto" w:fill="FFFFFF"/>
            <w:vertAlign w:val="baseline"/>
          </w:rPr>
          <w:t>Napoles v. INS, 278 F. Supp. 2d 272 (D. Conn. 2003)</w:t>
        </w:r>
      </w:hyperlink>
      <w:r>
        <w:rPr>
          <w:rFonts w:ascii="arial" w:eastAsia="arial" w:hAnsi="arial" w:cs="arial"/>
          <w:b w:val="0"/>
          <w:i w:val="0"/>
          <w:strike w:val="0"/>
          <w:noProof w:val="0"/>
          <w:color w:val="000000"/>
          <w:position w:val="0"/>
          <w:sz w:val="18"/>
          <w:u w:val="none"/>
          <w:vertAlign w:val="baseline"/>
        </w:rPr>
        <w:t xml:space="preserve"> (court had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to review termination of Cuban’s parole); </w:t>
      </w:r>
      <w:hyperlink r:id="rId148" w:history="1">
        <w:r>
          <w:rPr>
            <w:rFonts w:ascii="arial" w:eastAsia="arial" w:hAnsi="arial" w:cs="arial"/>
            <w:b w:val="0"/>
            <w:i/>
            <w:strike w:val="0"/>
            <w:noProof w:val="0"/>
            <w:color w:val="0077CC"/>
            <w:position w:val="0"/>
            <w:sz w:val="18"/>
            <w:u w:val="single"/>
            <w:shd w:val="clear" w:color="auto" w:fill="FFFFFF"/>
            <w:vertAlign w:val="baseline"/>
          </w:rPr>
          <w:t>Yi v. INS, 257 F. Supp. 2d 791 (E.D. Pa.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granted, IJ interfered with petitioner’s ability to fully present his claim); </w:t>
      </w:r>
      <w:hyperlink r:id="rId149" w:history="1">
        <w:r>
          <w:rPr>
            <w:rFonts w:ascii="arial" w:eastAsia="arial" w:hAnsi="arial" w:cs="arial"/>
            <w:b w:val="0"/>
            <w:i/>
            <w:strike w:val="0"/>
            <w:noProof w:val="0"/>
            <w:color w:val="0077CC"/>
            <w:position w:val="0"/>
            <w:sz w:val="18"/>
            <w:u w:val="single"/>
            <w:shd w:val="clear" w:color="auto" w:fill="FFFFFF"/>
            <w:vertAlign w:val="baseline"/>
          </w:rPr>
          <w:t>Bezmen v. Ashcroft, 245 F. Supp. 2d 446 (D. Conn.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granted; while automatic stay provisions are not facially unconstitutional, they were applied in an unconstitutional manner); </w:t>
      </w:r>
      <w:hyperlink r:id="rId150" w:history="1">
        <w:r>
          <w:rPr>
            <w:rFonts w:ascii="arial" w:eastAsia="arial" w:hAnsi="arial" w:cs="arial"/>
            <w:b w:val="0"/>
            <w:i/>
            <w:strike w:val="0"/>
            <w:noProof w:val="0"/>
            <w:color w:val="0077CC"/>
            <w:position w:val="0"/>
            <w:sz w:val="18"/>
            <w:u w:val="single"/>
            <w:shd w:val="clear" w:color="auto" w:fill="FFFFFF"/>
            <w:vertAlign w:val="baseline"/>
          </w:rPr>
          <w:t>Jeanty v. Bulger, 204 F. Supp. 2d 1366, 1379 (S.D. Fla. 2002)</w:t>
        </w:r>
      </w:hyperlink>
      <w:r>
        <w:rPr>
          <w:rFonts w:ascii="arial" w:eastAsia="arial" w:hAnsi="arial" w:cs="arial"/>
          <w:b w:val="0"/>
          <w:i w:val="0"/>
          <w:strike w:val="0"/>
          <w:noProof w:val="0"/>
          <w:color w:val="000000"/>
          <w:position w:val="0"/>
          <w:sz w:val="18"/>
          <w:u w:val="none"/>
          <w:vertAlign w:val="baseline"/>
        </w:rPr>
        <w:t xml:space="preserve"> (court retained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to review parole policy for Haitian asylum seekers and upheld immigration authorities’ decision to single out individuals by nationality for disparate treatment), </w:t>
      </w:r>
      <w:r>
        <w:rPr>
          <w:rFonts w:ascii="arial" w:eastAsia="arial" w:hAnsi="arial" w:cs="arial"/>
          <w:b w:val="0"/>
          <w:i/>
          <w:strike w:val="0"/>
          <w:noProof w:val="0"/>
          <w:color w:val="000000"/>
          <w:position w:val="0"/>
          <w:sz w:val="18"/>
          <w:u w:val="none"/>
          <w:vertAlign w:val="baseline"/>
        </w:rPr>
        <w:t>aff’d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Moise v. Bulger, 321 F.3d 1336 (11th Cir. 2003)</w:t>
      </w:r>
      <w:r>
        <w:rPr>
          <w:rFonts w:ascii="arial" w:eastAsia="arial" w:hAnsi="arial" w:cs="arial"/>
          <w:b w:val="0"/>
          <w:i w:val="0"/>
          <w:strike w:val="0"/>
          <w:noProof w:val="0"/>
          <w:color w:val="000000"/>
          <w:position w:val="0"/>
          <w:sz w:val="18"/>
          <w:u w:val="none"/>
          <w:vertAlign w:val="baseline"/>
        </w:rPr>
        <w:t xml:space="preserve"> (per curiam).</w:t>
      </w:r>
    </w:p>
  </w:footnote>
  <w:footnote w:id="9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93 </w:t>
      </w:r>
      <w:hyperlink r:id="rId98" w:history="1">
        <w:r>
          <w:rPr>
            <w:rFonts w:ascii="arial" w:eastAsia="arial" w:hAnsi="arial" w:cs="arial"/>
            <w:b w:val="0"/>
            <w:i/>
            <w:strike w:val="0"/>
            <w:noProof w:val="0"/>
            <w:color w:val="0077CC"/>
            <w:position w:val="0"/>
            <w:sz w:val="18"/>
            <w:u w:val="single"/>
            <w:shd w:val="clear" w:color="auto" w:fill="FFFFFF"/>
            <w:vertAlign w:val="baseline"/>
          </w:rPr>
          <w:t>Fernandez-Ruiz v. Gonzales, 410 F.3d 585, 587 (9th Cir. 2005)</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rev’d in part and remanded on other grounds</w:t>
      </w:r>
      <w:r>
        <w:rPr>
          <w:rFonts w:ascii="arial" w:eastAsia="arial" w:hAnsi="arial" w:cs="arial"/>
          <w:b w:val="0"/>
          <w:i w:val="0"/>
          <w:strike w:val="0"/>
          <w:noProof w:val="0"/>
          <w:color w:val="000000"/>
          <w:position w:val="0"/>
          <w:sz w:val="18"/>
          <w:u w:val="none"/>
          <w:vertAlign w:val="baseline"/>
        </w:rPr>
        <w:t xml:space="preserve">, </w:t>
      </w:r>
      <w:hyperlink r:id="rId99" w:history="1">
        <w:r>
          <w:rPr>
            <w:rFonts w:ascii="arial" w:eastAsia="arial" w:hAnsi="arial" w:cs="arial"/>
            <w:b w:val="0"/>
            <w:i/>
            <w:strike w:val="0"/>
            <w:noProof w:val="0"/>
            <w:color w:val="0077CC"/>
            <w:position w:val="0"/>
            <w:sz w:val="18"/>
            <w:u w:val="single"/>
            <w:shd w:val="clear" w:color="auto" w:fill="FFFFFF"/>
            <w:vertAlign w:val="baseline"/>
          </w:rPr>
          <w:t>466 F.3d 1121 (9th Cir. 2006)</w:t>
        </w:r>
      </w:hyperlink>
      <w:r>
        <w:rPr>
          <w:rFonts w:ascii="arial" w:eastAsia="arial" w:hAnsi="arial" w:cs="arial"/>
          <w:b w:val="0"/>
          <w:i w:val="0"/>
          <w:strike w:val="0"/>
          <w:noProof w:val="0"/>
          <w:color w:val="000000"/>
          <w:position w:val="0"/>
          <w:sz w:val="18"/>
          <w:u w:val="none"/>
          <w:vertAlign w:val="baseline"/>
        </w:rPr>
        <w:t xml:space="preserve"> (citing </w:t>
      </w:r>
      <w:r>
        <w:rPr>
          <w:rFonts w:ascii="arial" w:eastAsia="arial" w:hAnsi="arial" w:cs="arial"/>
          <w:b/>
          <w:i/>
          <w:strike w:val="0"/>
          <w:noProof w:val="0"/>
          <w:color w:val="000000"/>
          <w:position w:val="0"/>
          <w:sz w:val="18"/>
          <w:u w:val="none"/>
          <w:vertAlign w:val="baseline"/>
        </w:rPr>
        <w:t>Ye v. INS, 214 F.3d 1128, 1131 (9th Cir. 2000))</w:t>
      </w:r>
      <w:r>
        <w:rPr>
          <w:rFonts w:ascii="arial" w:eastAsia="arial" w:hAnsi="arial" w:cs="arial"/>
          <w:b w:val="0"/>
          <w:i w:val="0"/>
          <w:strike w:val="0"/>
          <w:noProof w:val="0"/>
          <w:color w:val="000000"/>
          <w:position w:val="0"/>
          <w:sz w:val="18"/>
          <w:u w:val="none"/>
          <w:vertAlign w:val="baseline"/>
        </w:rPr>
        <w:t xml:space="preserve">; </w:t>
      </w:r>
      <w:hyperlink r:id="rId31" w:history="1">
        <w:r>
          <w:rPr>
            <w:rFonts w:ascii="arial" w:eastAsia="arial" w:hAnsi="arial" w:cs="arial"/>
            <w:b w:val="0"/>
            <w:i/>
            <w:strike w:val="0"/>
            <w:noProof w:val="0"/>
            <w:color w:val="0077CC"/>
            <w:position w:val="0"/>
            <w:sz w:val="18"/>
            <w:u w:val="single"/>
            <w:shd w:val="clear" w:color="auto" w:fill="FFFFFF"/>
            <w:vertAlign w:val="baseline"/>
          </w:rPr>
          <w:t>Singh v. Reno, 182 F.3d 504, 509 n.4 (7th Cir. 1999)</w:t>
        </w:r>
      </w:hyperlink>
      <w:r>
        <w:rPr>
          <w:rFonts w:ascii="arial" w:eastAsia="arial" w:hAnsi="arial" w:cs="arial"/>
          <w:b w:val="0"/>
          <w:i w:val="0"/>
          <w:strike w:val="0"/>
          <w:noProof w:val="0"/>
          <w:color w:val="000000"/>
          <w:position w:val="0"/>
          <w:sz w:val="18"/>
          <w:u w:val="none"/>
          <w:vertAlign w:val="baseline"/>
        </w:rPr>
        <w:t xml:space="preserve"> (citing cases).</w:t>
      </w:r>
    </w:p>
  </w:footnote>
  <w:footnote w:id="9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94 </w:t>
      </w:r>
      <w:hyperlink r:id="rId31" w:history="1">
        <w:r>
          <w:rPr>
            <w:rFonts w:ascii="arial" w:eastAsia="arial" w:hAnsi="arial" w:cs="arial"/>
            <w:b w:val="0"/>
            <w:i/>
            <w:strike w:val="0"/>
            <w:noProof w:val="0"/>
            <w:color w:val="0077CC"/>
            <w:position w:val="0"/>
            <w:sz w:val="18"/>
            <w:u w:val="single"/>
            <w:shd w:val="clear" w:color="auto" w:fill="FFFFFF"/>
            <w:vertAlign w:val="baseline"/>
          </w:rPr>
          <w:t>Singh v. Reno, 182 F.3d 504, 509 n.4 (7th Cir.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51" w:history="1">
        <w:r>
          <w:rPr>
            <w:rFonts w:ascii="arial" w:eastAsia="arial" w:hAnsi="arial" w:cs="arial"/>
            <w:b w:val="0"/>
            <w:i/>
            <w:strike w:val="0"/>
            <w:noProof w:val="0"/>
            <w:color w:val="0077CC"/>
            <w:position w:val="0"/>
            <w:sz w:val="18"/>
            <w:u w:val="single"/>
            <w:shd w:val="clear" w:color="auto" w:fill="FFFFFF"/>
            <w:vertAlign w:val="baseline"/>
          </w:rPr>
          <w:t>Hall v. U.S. INS, 167 F.3d 852, 854–55 (4th Cir. 1999)</w:t>
        </w:r>
      </w:hyperlink>
      <w:r>
        <w:rPr>
          <w:rFonts w:ascii="arial" w:eastAsia="arial" w:hAnsi="arial" w:cs="arial"/>
          <w:b w:val="0"/>
          <w:i w:val="0"/>
          <w:strike w:val="0"/>
          <w:noProof w:val="0"/>
          <w:color w:val="000000"/>
          <w:position w:val="0"/>
          <w:sz w:val="18"/>
          <w:u w:val="none"/>
          <w:vertAlign w:val="baseline"/>
        </w:rPr>
        <w:t xml:space="preserve"> (petition for review, but its analysis of whether “jurisdictional facts” exist is also useful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proceedings).</w:t>
      </w:r>
    </w:p>
  </w:footnote>
  <w:footnote w:id="9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95 </w:t>
      </w:r>
      <w:r>
        <w:rPr>
          <w:rFonts w:ascii="arial" w:eastAsia="arial" w:hAnsi="arial" w:cs="arial"/>
          <w:b w:val="0"/>
          <w:i w:val="0"/>
          <w:strike w:val="0"/>
          <w:noProof w:val="0"/>
          <w:color w:val="000000"/>
          <w:position w:val="0"/>
          <w:sz w:val="18"/>
          <w:u w:val="none"/>
          <w:vertAlign w:val="baseline"/>
        </w:rPr>
        <w:t xml:space="preserve">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104.04[8][d]</w:t>
        </w:r>
      </w:hyperlink>
      <w:r>
        <w:rPr>
          <w:rFonts w:ascii="arial" w:eastAsia="arial" w:hAnsi="arial" w:cs="arial"/>
          <w:b w:val="0"/>
          <w:i w:val="0"/>
          <w:strike w:val="0"/>
          <w:noProof w:val="0"/>
          <w:color w:val="000000"/>
          <w:position w:val="0"/>
          <w:sz w:val="18"/>
          <w:u w:val="none"/>
          <w:vertAlign w:val="baseline"/>
        </w:rPr>
        <w:t xml:space="preserve"> for a discussion of stays of removal.</w:t>
      </w:r>
    </w:p>
  </w:footnote>
  <w:footnote w:id="9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96 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52" w:history="1">
        <w:r>
          <w:rPr>
            <w:rFonts w:ascii="arial" w:eastAsia="arial" w:hAnsi="arial" w:cs="arial"/>
            <w:b w:val="0"/>
            <w:i/>
            <w:strike w:val="0"/>
            <w:noProof w:val="0"/>
            <w:color w:val="0077CC"/>
            <w:position w:val="0"/>
            <w:sz w:val="18"/>
            <w:u w:val="single"/>
            <w:shd w:val="clear" w:color="auto" w:fill="FFFFFF"/>
            <w:vertAlign w:val="baseline"/>
          </w:rPr>
          <w:t>Nnadika v. Att’y Gen., 484 F.3d 626 (3d Cir. 2007)</w:t>
        </w:r>
      </w:hyperlink>
      <w:r>
        <w:rPr>
          <w:rFonts w:ascii="arial" w:eastAsia="arial" w:hAnsi="arial" w:cs="arial"/>
          <w:b w:val="0"/>
          <w:i w:val="0"/>
          <w:strike w:val="0"/>
          <w:noProof w:val="0"/>
          <w:color w:val="000000"/>
          <w:position w:val="0"/>
          <w:sz w:val="18"/>
          <w:u w:val="none"/>
          <w:vertAlign w:val="baseline"/>
        </w:rPr>
        <w:t xml:space="preserve"> (denial of I-730 reviewable in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as no final order for circuit court review); </w:t>
      </w:r>
      <w:hyperlink r:id="rId153" w:history="1">
        <w:r>
          <w:rPr>
            <w:rFonts w:ascii="arial" w:eastAsia="arial" w:hAnsi="arial" w:cs="arial"/>
            <w:b w:val="0"/>
            <w:i/>
            <w:strike w:val="0"/>
            <w:noProof w:val="0"/>
            <w:color w:val="0077CC"/>
            <w:position w:val="0"/>
            <w:sz w:val="18"/>
            <w:u w:val="single"/>
            <w:shd w:val="clear" w:color="auto" w:fill="FFFFFF"/>
            <w:vertAlign w:val="baseline"/>
          </w:rPr>
          <w:t>Fonseca-Sanchez v. Gonzales, 484 F.3d 439 (7th Cir. 2007)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for U visa denial); </w:t>
      </w:r>
      <w:hyperlink r:id="rId154" w:history="1">
        <w:r>
          <w:rPr>
            <w:rFonts w:ascii="arial" w:eastAsia="arial" w:hAnsi="arial" w:cs="arial"/>
            <w:b w:val="0"/>
            <w:i/>
            <w:strike w:val="0"/>
            <w:noProof w:val="0"/>
            <w:color w:val="0077CC"/>
            <w:position w:val="0"/>
            <w:sz w:val="18"/>
            <w:u w:val="single"/>
            <w:shd w:val="clear" w:color="auto" w:fill="FFFFFF"/>
            <w:vertAlign w:val="baseline"/>
          </w:rPr>
          <w:t>Madu v. Att’y Gen., 470 F.3d 1362 (11th Cir. 2006)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appropriate where no removal order and petitioner departed and re-entered); </w:t>
      </w:r>
      <w:hyperlink r:id="rId155" w:history="1">
        <w:r>
          <w:rPr>
            <w:rFonts w:ascii="arial" w:eastAsia="arial" w:hAnsi="arial" w:cs="arial"/>
            <w:b w:val="0"/>
            <w:i/>
            <w:strike w:val="0"/>
            <w:noProof w:val="0"/>
            <w:color w:val="0077CC"/>
            <w:position w:val="0"/>
            <w:sz w:val="18"/>
            <w:u w:val="single"/>
            <w:shd w:val="clear" w:color="auto" w:fill="FFFFFF"/>
            <w:vertAlign w:val="baseline"/>
          </w:rPr>
          <w:t>Tejada v. Cabral, 424 F. Supp. 2d 296, 298 (D. Mass. 2006)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exists to review validity of state conviction underlying removal order, even though no jurisdiction to issue stay of removal; “Despite all the potential conscience-shocking consequences of the REAL ID Act,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07" w:history="1">
        <w:r>
          <w:rPr>
            <w:rFonts w:ascii="arial" w:eastAsia="arial" w:hAnsi="arial" w:cs="arial"/>
            <w:b w:val="0"/>
            <w:i/>
            <w:strike w:val="0"/>
            <w:noProof w:val="0"/>
            <w:color w:val="0077CC"/>
            <w:position w:val="0"/>
            <w:sz w:val="18"/>
            <w:u w:val="single"/>
            <w:shd w:val="clear" w:color="auto" w:fill="FFFFFF"/>
            <w:vertAlign w:val="baseline"/>
          </w:rPr>
          <w:t>Enwonwu v. Chertoff</w:t>
        </w:r>
      </w:hyperlink>
      <w:hyperlink r:id="rId107" w:history="1">
        <w:r>
          <w:rPr>
            <w:rFonts w:ascii="arial" w:eastAsia="arial" w:hAnsi="arial" w:cs="arial"/>
            <w:b w:val="0"/>
            <w:i/>
            <w:strike w:val="0"/>
            <w:noProof w:val="0"/>
            <w:color w:val="0077CC"/>
            <w:position w:val="0"/>
            <w:sz w:val="18"/>
            <w:u w:val="single"/>
            <w:shd w:val="clear" w:color="auto" w:fill="FFFFFF"/>
            <w:vertAlign w:val="baseline"/>
          </w:rPr>
          <w:t>, 376 F. Supp. 2d 42 (D. Mass. 2005)</w:t>
        </w:r>
      </w:hyperlink>
      <w:r>
        <w:rPr>
          <w:rFonts w:ascii="arial" w:eastAsia="arial" w:hAnsi="arial" w:cs="arial"/>
          <w:b w:val="0"/>
          <w:i w:val="0"/>
          <w:strike w:val="0"/>
          <w:noProof w:val="0"/>
          <w:color w:val="000000"/>
          <w:position w:val="0"/>
          <w:sz w:val="18"/>
          <w:u w:val="none"/>
          <w:vertAlign w:val="baseline"/>
        </w:rPr>
        <w:t>, [petitioner] is correct that the act did not work a general deprivation of this Court’s jurisdiction to entertain petitions pursuant to [</w:t>
      </w:r>
      <w:hyperlink r:id="rId156" w:history="1">
        <w:r>
          <w:rPr>
            <w:rFonts w:ascii="arial" w:eastAsia="arial" w:hAnsi="arial" w:cs="arial"/>
            <w:b w:val="0"/>
            <w:i/>
            <w:strike w:val="0"/>
            <w:noProof w:val="0"/>
            <w:color w:val="0077CC"/>
            <w:position w:val="0"/>
            <w:sz w:val="18"/>
            <w:u w:val="single"/>
            <w:shd w:val="clear" w:color="auto" w:fill="FFFFFF"/>
            <w:vertAlign w:val="baseline"/>
          </w:rPr>
          <w:t>28 U.S.C. § 2254</w:t>
        </w:r>
      </w:hyperlink>
      <w:r>
        <w:rPr>
          <w:rFonts w:ascii="arial" w:eastAsia="arial" w:hAnsi="arial" w:cs="arial"/>
          <w:b w:val="0"/>
          <w:i w:val="0"/>
          <w:strike w:val="0"/>
          <w:noProof w:val="0"/>
          <w:color w:val="000000"/>
          <w:position w:val="0"/>
          <w:sz w:val="18"/>
          <w:u w:val="none"/>
          <w:vertAlign w:val="baseline"/>
        </w:rPr>
        <w:t>] simply because the petitioner happens to be an immigrant alien. It only deprived this Court of jurisdiction over petitions which challenge ‘any final order of removal’ [sic]. As noted above, [the petitioner] challenges only his underlying state conviction, not the Department’s order of removal. This Court, therefore, properly has jurisdiction over [the petitioner’s] petition.”).</w:t>
      </w:r>
    </w:p>
  </w:footnote>
  <w:footnote w:id="9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97 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88" w:history="1">
        <w:r>
          <w:rPr>
            <w:rFonts w:ascii="arial" w:eastAsia="arial" w:hAnsi="arial" w:cs="arial"/>
            <w:b w:val="0"/>
            <w:i/>
            <w:strike w:val="0"/>
            <w:noProof w:val="0"/>
            <w:color w:val="0077CC"/>
            <w:position w:val="0"/>
            <w:sz w:val="18"/>
            <w:u w:val="single"/>
            <w:shd w:val="clear" w:color="auto" w:fill="FFFFFF"/>
            <w:vertAlign w:val="baseline"/>
          </w:rPr>
          <w:t>Khouzam v. Att’y Gen., 549 F.3d 235, 246 (3d Cir. 2008)</w:t>
        </w:r>
      </w:hyperlink>
      <w:r>
        <w:rPr>
          <w:rFonts w:ascii="arial" w:eastAsia="arial" w:hAnsi="arial" w:cs="arial"/>
          <w:b w:val="0"/>
          <w:i w:val="0"/>
          <w:strike w:val="0"/>
          <w:noProof w:val="0"/>
          <w:color w:val="000000"/>
          <w:position w:val="0"/>
          <w:sz w:val="18"/>
          <w:u w:val="none"/>
          <w:vertAlign w:val="baseline"/>
        </w:rPr>
        <w:t xml:space="preserve"> (“We have held that ‘there is no question’ that a petition for review with a court of appeals, under the current statutory regime, provides an alien an adequate substitute to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(citing </w:t>
      </w:r>
      <w:hyperlink r:id="rId124" w:history="1">
        <w:r>
          <w:rPr>
            <w:rFonts w:ascii="arial" w:eastAsia="arial" w:hAnsi="arial" w:cs="arial"/>
            <w:b w:val="0"/>
            <w:i/>
            <w:strike w:val="0"/>
            <w:noProof w:val="0"/>
            <w:color w:val="0077CC"/>
            <w:position w:val="0"/>
            <w:sz w:val="18"/>
            <w:u w:val="single"/>
            <w:shd w:val="clear" w:color="auto" w:fill="FFFFFF"/>
            <w:vertAlign w:val="baseline"/>
          </w:rPr>
          <w:t>Kolkevich v. Att’y Gen., 501 F.3d 323, 332 (3d Cir. 2007)</w:t>
        </w:r>
      </w:hyperlink>
      <w:r>
        <w:rPr>
          <w:rFonts w:ascii="arial" w:eastAsia="arial" w:hAnsi="arial" w:cs="arial"/>
          <w:b w:val="0"/>
          <w:i w:val="0"/>
          <w:strike w:val="0"/>
          <w:noProof w:val="0"/>
          <w:color w:val="000000"/>
          <w:position w:val="0"/>
          <w:sz w:val="18"/>
          <w:u w:val="none"/>
          <w:vertAlign w:val="baseline"/>
        </w:rPr>
        <w:t xml:space="preserve">. Other courts of appeals have reached the same conclusion. </w:t>
      </w:r>
      <w:hyperlink r:id="rId157" w:history="1">
        <w:r>
          <w:rPr>
            <w:rFonts w:ascii="arial" w:eastAsia="arial" w:hAnsi="arial" w:cs="arial"/>
            <w:b w:val="0"/>
            <w:i/>
            <w:strike w:val="0"/>
            <w:noProof w:val="0"/>
            <w:color w:val="0077CC"/>
            <w:position w:val="0"/>
            <w:sz w:val="18"/>
            <w:u w:val="single"/>
            <w:shd w:val="clear" w:color="auto" w:fill="FFFFFF"/>
            <w:vertAlign w:val="baseline"/>
          </w:rPr>
          <w:t>Singh v. Mukasey, 533 F.3d 1103, 1106–08 (9th Cir. 2008)</w:t>
        </w:r>
      </w:hyperlink>
      <w:r>
        <w:rPr>
          <w:rFonts w:ascii="arial" w:eastAsia="arial" w:hAnsi="arial" w:cs="arial"/>
          <w:b w:val="0"/>
          <w:i w:val="0"/>
          <w:strike w:val="0"/>
          <w:noProof w:val="0"/>
          <w:color w:val="000000"/>
          <w:position w:val="0"/>
          <w:sz w:val="18"/>
          <w:u w:val="none"/>
          <w:vertAlign w:val="baseline"/>
        </w:rPr>
        <w:t xml:space="preserve">; </w:t>
      </w:r>
      <w:hyperlink r:id="rId123" w:history="1">
        <w:r>
          <w:rPr>
            <w:rFonts w:ascii="arial" w:eastAsia="arial" w:hAnsi="arial" w:cs="arial"/>
            <w:b w:val="0"/>
            <w:i/>
            <w:strike w:val="0"/>
            <w:noProof w:val="0"/>
            <w:color w:val="0077CC"/>
            <w:position w:val="0"/>
            <w:sz w:val="18"/>
            <w:u w:val="single"/>
            <w:shd w:val="clear" w:color="auto" w:fill="FFFFFF"/>
            <w:vertAlign w:val="baseline"/>
          </w:rPr>
          <w:t>Ruiz-Martinez v. Mukasey, 516 F.3d 102, 114 (2d Cir. 2008)</w:t>
        </w:r>
      </w:hyperlink>
      <w:r>
        <w:rPr>
          <w:rFonts w:ascii="arial" w:eastAsia="arial" w:hAnsi="arial" w:cs="arial"/>
          <w:b w:val="0"/>
          <w:i w:val="0"/>
          <w:strike w:val="0"/>
          <w:noProof w:val="0"/>
          <w:color w:val="000000"/>
          <w:position w:val="0"/>
          <w:sz w:val="18"/>
          <w:u w:val="none"/>
          <w:vertAlign w:val="baseline"/>
        </w:rPr>
        <w:t xml:space="preserve">; </w:t>
      </w:r>
      <w:hyperlink r:id="rId158" w:history="1">
        <w:r>
          <w:rPr>
            <w:rFonts w:ascii="arial" w:eastAsia="arial" w:hAnsi="arial" w:cs="arial"/>
            <w:b w:val="0"/>
            <w:i/>
            <w:strike w:val="0"/>
            <w:noProof w:val="0"/>
            <w:color w:val="0077CC"/>
            <w:position w:val="0"/>
            <w:sz w:val="18"/>
            <w:u w:val="single"/>
            <w:shd w:val="clear" w:color="auto" w:fill="FFFFFF"/>
            <w:vertAlign w:val="baseline"/>
          </w:rPr>
          <w:t>Mohamed v. Gonzales, 477 F.3d 522, 526 (8th Cir. 2007)</w:t>
        </w:r>
      </w:hyperlink>
      <w:r>
        <w:rPr>
          <w:rFonts w:ascii="arial" w:eastAsia="arial" w:hAnsi="arial" w:cs="arial"/>
          <w:b w:val="0"/>
          <w:i w:val="0"/>
          <w:strike w:val="0"/>
          <w:noProof w:val="0"/>
          <w:color w:val="000000"/>
          <w:position w:val="0"/>
          <w:sz w:val="18"/>
          <w:u w:val="none"/>
          <w:vertAlign w:val="baseline"/>
        </w:rPr>
        <w:t xml:space="preserve">; </w:t>
      </w:r>
      <w:hyperlink r:id="rId159" w:history="1">
        <w:r>
          <w:rPr>
            <w:rFonts w:ascii="arial" w:eastAsia="arial" w:hAnsi="arial" w:cs="arial"/>
            <w:b w:val="0"/>
            <w:i/>
            <w:strike w:val="0"/>
            <w:noProof w:val="0"/>
            <w:color w:val="0077CC"/>
            <w:position w:val="0"/>
            <w:sz w:val="18"/>
            <w:u w:val="single"/>
            <w:shd w:val="clear" w:color="auto" w:fill="FFFFFF"/>
            <w:vertAlign w:val="baseline"/>
          </w:rPr>
          <w:t>Alexandre v. U.S. Att’y Gen., 452 F.3d 1204, 1206 (11th Cir. 2006)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Gerald Neuman, </w:t>
      </w:r>
      <w:r>
        <w:rPr>
          <w:rFonts w:ascii="arial" w:eastAsia="arial" w:hAnsi="arial" w:cs="arial"/>
          <w:b w:val="0"/>
          <w:i/>
          <w:strike w:val="0"/>
          <w:noProof w:val="0"/>
          <w:color w:val="000000"/>
          <w:position w:val="0"/>
          <w:sz w:val="18"/>
          <w:u w:val="none"/>
          <w:vertAlign w:val="baseline"/>
        </w:rPr>
        <w:t>The REAL ID Act and the Suspension Clause</w:t>
      </w:r>
      <w:r>
        <w:rPr>
          <w:rFonts w:ascii="arial" w:eastAsia="arial" w:hAnsi="arial" w:cs="arial"/>
          <w:b w:val="0"/>
          <w:i w:val="0"/>
          <w:strike w:val="0"/>
          <w:noProof w:val="0"/>
          <w:color w:val="000000"/>
          <w:position w:val="0"/>
          <w:sz w:val="18"/>
          <w:u w:val="none"/>
          <w:vertAlign w:val="baseline"/>
        </w:rPr>
        <w:t>, 10 Bender’s Immigr. Bull. 1555 (Oct. 15, 2005).</w:t>
      </w:r>
    </w:p>
  </w:footnote>
  <w:footnote w:id="9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98 </w:t>
      </w:r>
      <w:hyperlink r:id="rId160" w:history="1">
        <w:r>
          <w:rPr>
            <w:rFonts w:ascii="arial" w:eastAsia="arial" w:hAnsi="arial" w:cs="arial"/>
            <w:b w:val="0"/>
            <w:i/>
            <w:strike w:val="0"/>
            <w:noProof w:val="0"/>
            <w:color w:val="0077CC"/>
            <w:position w:val="0"/>
            <w:sz w:val="18"/>
            <w:u w:val="single"/>
            <w:shd w:val="clear" w:color="auto" w:fill="FFFFFF"/>
            <w:vertAlign w:val="baseline"/>
          </w:rPr>
          <w:t>Boumediene v. Bush, 553 U.S. 723 (2008)</w:t>
        </w:r>
      </w:hyperlink>
      <w:r>
        <w:rPr>
          <w:rFonts w:ascii="arial" w:eastAsia="arial" w:hAnsi="arial" w:cs="arial"/>
          <w:b w:val="0"/>
          <w:i w:val="0"/>
          <w:strike w:val="0"/>
          <w:noProof w:val="0"/>
          <w:color w:val="000000"/>
          <w:position w:val="0"/>
          <w:sz w:val="18"/>
          <w:u w:val="none"/>
          <w:vertAlign w:val="baseline"/>
        </w:rPr>
        <w:t>.</w:t>
      </w:r>
    </w:p>
  </w:footnote>
  <w:footnote w:id="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99 </w:t>
      </w:r>
      <w:hyperlink r:id="rId160"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60" w:history="1">
        <w:r>
          <w:rPr>
            <w:rFonts w:ascii="arial" w:eastAsia="arial" w:hAnsi="arial" w:cs="arial"/>
            <w:b w:val="0"/>
            <w:i/>
            <w:strike w:val="0"/>
            <w:noProof w:val="0"/>
            <w:color w:val="0077CC"/>
            <w:position w:val="0"/>
            <w:sz w:val="18"/>
            <w:u w:val="single"/>
            <w:shd w:val="clear" w:color="auto" w:fill="FFFFFF"/>
            <w:vertAlign w:val="baseline"/>
          </w:rPr>
          <w:t>. at 787–90</w:t>
        </w:r>
      </w:hyperlink>
      <w:r>
        <w:rPr>
          <w:rFonts w:ascii="arial" w:eastAsia="arial" w:hAnsi="arial" w:cs="arial"/>
          <w:b w:val="0"/>
          <w:i w:val="0"/>
          <w:strike w:val="0"/>
          <w:noProof w:val="0"/>
          <w:color w:val="000000"/>
          <w:position w:val="0"/>
          <w:sz w:val="18"/>
          <w:u w:val="none"/>
          <w:vertAlign w:val="baseline"/>
        </w:rPr>
        <w:t>.</w:t>
      </w:r>
    </w:p>
  </w:footnote>
  <w:footnote w:id="100">
    <w:p>
      <w:pPr>
        <w:keepNext w:val="0"/>
        <w:spacing w:before="240" w:after="0" w:line="240" w:lineRule="atLeast"/>
        <w:ind w:left="0" w:right="0" w:firstLine="240"/>
        <w:jc w:val="both"/>
      </w:pPr>
      <w:r>
        <w:rPr>
          <w:rFonts w:ascii="arial" w:eastAsia="arial" w:hAnsi="arial" w:cs="arial"/>
          <w:b w:val="0"/>
          <w:i w:val="0"/>
          <w:strike w:val="0"/>
          <w:noProof w:val="0"/>
          <w:color w:val="000000"/>
          <w:position w:val="0"/>
          <w:sz w:val="18"/>
          <w:u w:val="none"/>
          <w:vertAlign w:val="superscript"/>
        </w:rPr>
        <w:t>100 </w:t>
      </w:r>
      <w:r>
        <w:rPr>
          <w:rFonts w:ascii="arial" w:eastAsia="arial" w:hAnsi="arial" w:cs="arial"/>
          <w:b w:val="0"/>
          <w:i w:val="0"/>
          <w:strike w:val="0"/>
          <w:noProof w:val="0"/>
          <w:color w:val="000000"/>
          <w:position w:val="0"/>
          <w:sz w:val="18"/>
          <w:u w:val="none"/>
          <w:vertAlign w:val="baseline"/>
        </w:rPr>
        <w:t xml:space="preserve">Gerald L. Neuman, </w:t>
      </w:r>
      <w:r>
        <w:rPr>
          <w:rFonts w:ascii="arial" w:eastAsia="arial" w:hAnsi="arial" w:cs="arial"/>
          <w:b w:val="0"/>
          <w:i/>
          <w:strike w:val="0"/>
          <w:noProof w:val="0"/>
          <w:color w:val="000000"/>
          <w:position w:val="0"/>
          <w:sz w:val="18"/>
          <w:u w:val="none"/>
          <w:vertAlign w:val="baseline"/>
        </w:rPr>
        <w:t xml:space="preserve">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Corpus Suspension Clause After</w:t>
      </w:r>
      <w:r>
        <w:rPr>
          <w:rFonts w:ascii="arial" w:eastAsia="arial" w:hAnsi="arial" w:cs="arial"/>
          <w:b w:val="0"/>
          <w:i w:val="0"/>
          <w:strike w:val="0"/>
          <w:noProof w:val="0"/>
          <w:color w:val="000000"/>
          <w:position w:val="0"/>
          <w:sz w:val="18"/>
          <w:u w:val="none"/>
          <w:vertAlign w:val="baseline"/>
        </w:rPr>
        <w:t xml:space="preserve"> Boumediene v. Bush, </w:t>
      </w:r>
      <w:hyperlink r:id="rId161" w:history="1">
        <w:r>
          <w:rPr>
            <w:rFonts w:ascii="arial" w:eastAsia="arial" w:hAnsi="arial" w:cs="arial"/>
            <w:b w:val="0"/>
            <w:i/>
            <w:strike w:val="0"/>
            <w:noProof w:val="0"/>
            <w:color w:val="0077CC"/>
            <w:position w:val="0"/>
            <w:sz w:val="18"/>
            <w:u w:val="single"/>
            <w:shd w:val="clear" w:color="auto" w:fill="FFFFFF"/>
            <w:vertAlign w:val="baseline"/>
          </w:rPr>
          <w:t>110 Colum. L. Rev. 537, 538–39 (2010)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Paul Diller,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and (Non-)Delegation</w:t>
      </w:r>
      <w:r>
        <w:rPr>
          <w:rFonts w:ascii="arial" w:eastAsia="arial" w:hAnsi="arial" w:cs="arial"/>
          <w:b w:val="0"/>
          <w:i w:val="0"/>
          <w:strike w:val="0"/>
          <w:noProof w:val="0"/>
          <w:color w:val="000000"/>
          <w:position w:val="0"/>
          <w:sz w:val="18"/>
          <w:u w:val="none"/>
          <w:vertAlign w:val="baseline"/>
        </w:rPr>
        <w:t xml:space="preserve">, </w:t>
      </w:r>
      <w:hyperlink r:id="rId79" w:history="1">
        <w:r>
          <w:rPr>
            <w:rFonts w:ascii="arial" w:eastAsia="arial" w:hAnsi="arial" w:cs="arial"/>
            <w:b w:val="0"/>
            <w:i/>
            <w:strike w:val="0"/>
            <w:noProof w:val="0"/>
            <w:color w:val="0077CC"/>
            <w:position w:val="0"/>
            <w:sz w:val="18"/>
            <w:u w:val="single"/>
            <w:shd w:val="clear" w:color="auto" w:fill="FFFFFF"/>
            <w:vertAlign w:val="baseline"/>
          </w:rPr>
          <w:t>77 U. Chi. L. Rev. 585, 586 (2010)</w:t>
        </w:r>
      </w:hyperlink>
      <w:r>
        <w:rPr>
          <w:rFonts w:ascii="arial" w:eastAsia="arial" w:hAnsi="arial" w:cs="arial"/>
          <w:b w:val="0"/>
          <w:i w:val="0"/>
          <w:strike w:val="0"/>
          <w:noProof w:val="0"/>
          <w:color w:val="000000"/>
          <w:position w:val="0"/>
          <w:sz w:val="18"/>
          <w:u w:val="none"/>
          <w:vertAlign w:val="baseline"/>
        </w:rPr>
        <w:t xml:space="preserve"> (“the </w:t>
      </w:r>
      <w:r>
        <w:rPr>
          <w:rFonts w:ascii="arial" w:eastAsia="arial" w:hAnsi="arial" w:cs="arial"/>
          <w:b w:val="0"/>
          <w:i/>
          <w:strike w:val="0"/>
          <w:noProof w:val="0"/>
          <w:color w:val="000000"/>
          <w:position w:val="0"/>
          <w:sz w:val="18"/>
          <w:u w:val="none"/>
          <w:vertAlign w:val="baseline"/>
        </w:rPr>
        <w:t>Boumediene</w:t>
      </w:r>
      <w:r>
        <w:rPr>
          <w:rFonts w:ascii="arial" w:eastAsia="arial" w:hAnsi="arial" w:cs="arial"/>
          <w:b w:val="0"/>
          <w:i w:val="0"/>
          <w:strike w:val="0"/>
          <w:noProof w:val="0"/>
          <w:color w:val="000000"/>
          <w:position w:val="0"/>
          <w:sz w:val="18"/>
          <w:u w:val="none"/>
          <w:vertAlign w:val="baseline"/>
        </w:rPr>
        <w:t xml:space="preserve"> majority jealously guarded the Great Writ while struggling to explain what exactly about it was so irreplaceable. The </w:t>
      </w:r>
      <w:r>
        <w:rPr>
          <w:rFonts w:ascii="arial" w:eastAsia="arial" w:hAnsi="arial" w:cs="arial"/>
          <w:b w:val="0"/>
          <w:i/>
          <w:strike w:val="0"/>
          <w:noProof w:val="0"/>
          <w:color w:val="000000"/>
          <w:position w:val="0"/>
          <w:sz w:val="18"/>
          <w:u w:val="none"/>
          <w:vertAlign w:val="baseline"/>
        </w:rPr>
        <w:t>Boumediene</w:t>
      </w:r>
      <w:r>
        <w:rPr>
          <w:rFonts w:ascii="arial" w:eastAsia="arial" w:hAnsi="arial" w:cs="arial"/>
          <w:b w:val="0"/>
          <w:i w:val="0"/>
          <w:strike w:val="0"/>
          <w:noProof w:val="0"/>
          <w:color w:val="000000"/>
          <w:position w:val="0"/>
          <w:sz w:val="18"/>
          <w:u w:val="none"/>
          <w:vertAlign w:val="baseline"/>
        </w:rPr>
        <w:t xml:space="preserve"> majority thus called into question the Court’s prior, seemingly functional jurisprudence under the Suspension Clause, which permitted the replacement of the traditional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remedy with an adequate and effective substitute therefor.” (footnotes omitted)); Jennifer Norako, Comment, </w:t>
      </w:r>
      <w:r>
        <w:rPr>
          <w:rFonts w:ascii="arial" w:eastAsia="arial" w:hAnsi="arial" w:cs="arial"/>
          <w:b w:val="0"/>
          <w:i/>
          <w:strike w:val="0"/>
          <w:noProof w:val="0"/>
          <w:color w:val="000000"/>
          <w:position w:val="0"/>
          <w:sz w:val="18"/>
          <w:u w:val="none"/>
          <w:vertAlign w:val="baseline"/>
        </w:rPr>
        <w:t xml:space="preserve">Accuracy or Fairness?: The Meaning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Corpus After</w:t>
      </w:r>
      <w:r>
        <w:rPr>
          <w:rFonts w:ascii="arial" w:eastAsia="arial" w:hAnsi="arial" w:cs="arial"/>
          <w:b w:val="0"/>
          <w:i w:val="0"/>
          <w:strike w:val="0"/>
          <w:noProof w:val="0"/>
          <w:color w:val="000000"/>
          <w:position w:val="0"/>
          <w:sz w:val="18"/>
          <w:u w:val="none"/>
          <w:vertAlign w:val="baseline"/>
        </w:rPr>
        <w:t xml:space="preserve"> Boumediene v. Bush </w:t>
      </w:r>
      <w:r>
        <w:rPr>
          <w:rFonts w:ascii="arial" w:eastAsia="arial" w:hAnsi="arial" w:cs="arial"/>
          <w:b w:val="0"/>
          <w:i/>
          <w:strike w:val="0"/>
          <w:noProof w:val="0"/>
          <w:color w:val="000000"/>
          <w:position w:val="0"/>
          <w:sz w:val="18"/>
          <w:u w:val="none"/>
          <w:vertAlign w:val="baseline"/>
        </w:rPr>
        <w:t>and Its Implications on Alien Removal Orders</w:t>
      </w:r>
      <w:r>
        <w:rPr>
          <w:rFonts w:ascii="arial" w:eastAsia="arial" w:hAnsi="arial" w:cs="arial"/>
          <w:b w:val="0"/>
          <w:i w:val="0"/>
          <w:strike w:val="0"/>
          <w:noProof w:val="0"/>
          <w:color w:val="000000"/>
          <w:position w:val="0"/>
          <w:sz w:val="18"/>
          <w:u w:val="none"/>
          <w:vertAlign w:val="baseline"/>
        </w:rPr>
        <w:t xml:space="preserve">, </w:t>
      </w:r>
      <w:hyperlink r:id="rId162" w:history="1">
        <w:r>
          <w:rPr>
            <w:rFonts w:ascii="arial" w:eastAsia="arial" w:hAnsi="arial" w:cs="arial"/>
            <w:b w:val="0"/>
            <w:i/>
            <w:strike w:val="0"/>
            <w:noProof w:val="0"/>
            <w:color w:val="0077CC"/>
            <w:position w:val="0"/>
            <w:sz w:val="18"/>
            <w:u w:val="single"/>
            <w:shd w:val="clear" w:color="auto" w:fill="FFFFFF"/>
            <w:vertAlign w:val="baseline"/>
          </w:rPr>
          <w:t>58 Am. U.L. Rev. 1611 (2009)</w:t>
        </w:r>
      </w:hyperlink>
      <w:r>
        <w:rPr>
          <w:rFonts w:ascii="arial" w:eastAsia="arial" w:hAnsi="arial" w:cs="arial"/>
          <w:b w:val="0"/>
          <w:i w:val="0"/>
          <w:strike w:val="0"/>
          <w:noProof w:val="0"/>
          <w:color w:val="000000"/>
          <w:position w:val="0"/>
          <w:sz w:val="18"/>
          <w:u w:val="none"/>
          <w:vertAlign w:val="baseline"/>
        </w:rPr>
        <w:t>.</w:t>
      </w:r>
    </w:p>
  </w:footnote>
  <w:footnote w:id="10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101 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63" w:history="1">
        <w:r>
          <w:rPr>
            <w:rFonts w:ascii="arial" w:eastAsia="arial" w:hAnsi="arial" w:cs="arial"/>
            <w:b w:val="0"/>
            <w:i/>
            <w:strike w:val="0"/>
            <w:noProof w:val="0"/>
            <w:color w:val="0077CC"/>
            <w:position w:val="0"/>
            <w:sz w:val="18"/>
            <w:u w:val="single"/>
            <w:shd w:val="clear" w:color="auto" w:fill="FFFFFF"/>
            <w:vertAlign w:val="baseline"/>
          </w:rPr>
          <w:t>Qureshi v. Admin. Appeals Office, 2010 U.S. App. LEXIS 24073, at *7 (3d Cir. Nov. 23, 2010)</w:t>
        </w:r>
      </w:hyperlink>
      <w:r>
        <w:rPr>
          <w:rFonts w:ascii="arial" w:eastAsia="arial" w:hAnsi="arial" w:cs="arial"/>
          <w:b w:val="0"/>
          <w:i w:val="0"/>
          <w:strike w:val="0"/>
          <w:noProof w:val="0"/>
          <w:color w:val="000000"/>
          <w:position w:val="0"/>
          <w:sz w:val="18"/>
          <w:u w:val="none"/>
          <w:vertAlign w:val="baseline"/>
        </w:rPr>
        <w:t xml:space="preserve"> (no violation of Suspension Clause when Congress provided “adequate substitute procedures” in place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w:t>
      </w:r>
      <w:hyperlink r:id="rId164" w:history="1">
        <w:r>
          <w:rPr>
            <w:rFonts w:ascii="arial" w:eastAsia="arial" w:hAnsi="arial" w:cs="arial"/>
            <w:b w:val="0"/>
            <w:i/>
            <w:strike w:val="0"/>
            <w:noProof w:val="0"/>
            <w:color w:val="0077CC"/>
            <w:position w:val="0"/>
            <w:sz w:val="18"/>
            <w:u w:val="single"/>
            <w:shd w:val="clear" w:color="auto" w:fill="FFFFFF"/>
            <w:vertAlign w:val="baseline"/>
          </w:rPr>
          <w:t>Muka v. Baker, 559 F.3d 480 (6th Cir. 2009)</w:t>
        </w:r>
      </w:hyperlink>
      <w:r>
        <w:rPr>
          <w:rFonts w:ascii="arial" w:eastAsia="arial" w:hAnsi="arial" w:cs="arial"/>
          <w:b w:val="0"/>
          <w:i w:val="0"/>
          <w:strike w:val="0"/>
          <w:noProof w:val="0"/>
          <w:color w:val="000000"/>
          <w:position w:val="0"/>
          <w:sz w:val="18"/>
          <w:u w:val="none"/>
          <w:vertAlign w:val="baseline"/>
        </w:rPr>
        <w:t xml:space="preserve"> (limit on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under REAL ID Act does not violate Suspension Clause because same scope of review available in court of appeals); </w:t>
      </w:r>
      <w:r>
        <w:rPr>
          <w:rFonts w:ascii="arial" w:eastAsia="arial" w:hAnsi="arial" w:cs="arial"/>
          <w:b/>
          <w:i/>
          <w:strike w:val="0"/>
          <w:noProof w:val="0"/>
          <w:color w:val="000000"/>
          <w:position w:val="0"/>
          <w:sz w:val="18"/>
          <w:u w:val="none"/>
          <w:vertAlign w:val="baseline"/>
        </w:rPr>
        <w:t>Ramadan v. Gonzales, 479 F.3d 646, 654 (9th Cir. 2007)</w:t>
      </w:r>
      <w:r>
        <w:rPr>
          <w:rFonts w:ascii="arial" w:eastAsia="arial" w:hAnsi="arial" w:cs="arial"/>
          <w:b w:val="0"/>
          <w:i w:val="0"/>
          <w:strike w:val="0"/>
          <w:noProof w:val="0"/>
          <w:color w:val="000000"/>
          <w:position w:val="0"/>
          <w:sz w:val="18"/>
          <w:u w:val="none"/>
          <w:vertAlign w:val="baseline"/>
        </w:rPr>
        <w:t xml:space="preserve"> (“the phrase ‘questions of law’ as it is used in section 106 of the Real ID Act includes review of the application of statutes and regulations to undisputed historical facts. This construction is amply supported by the statute and legislative history, and a narrower interpretation would pose a serious Suspension Clause issue.” (footnote omitted)).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165" w:history="1">
        <w:r>
          <w:rPr>
            <w:rFonts w:ascii="arial" w:eastAsia="arial" w:hAnsi="arial" w:cs="arial"/>
            <w:b w:val="0"/>
            <w:i/>
            <w:strike w:val="0"/>
            <w:noProof w:val="0"/>
            <w:color w:val="0077CC"/>
            <w:position w:val="0"/>
            <w:sz w:val="18"/>
            <w:u w:val="single"/>
            <w:shd w:val="clear" w:color="auto" w:fill="FFFFFF"/>
            <w:vertAlign w:val="baseline"/>
          </w:rPr>
          <w:t>Luna v. Holder, 637 F.3d 85, 99 (2d Cir. 2011)</w:t>
        </w:r>
      </w:hyperlink>
      <w:r>
        <w:rPr>
          <w:rFonts w:ascii="arial" w:eastAsia="arial" w:hAnsi="arial" w:cs="arial"/>
          <w:b w:val="0"/>
          <w:i w:val="0"/>
          <w:strike w:val="0"/>
          <w:noProof w:val="0"/>
          <w:color w:val="000000"/>
          <w:position w:val="0"/>
          <w:sz w:val="18"/>
          <w:u w:val="none"/>
          <w:vertAlign w:val="baseline"/>
        </w:rPr>
        <w:t xml:space="preserve"> (“For a motion to reopen to be a constitutionally adequate substitute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it cannot be ‘subject to manipulation’ by the Government.”) (citing </w:t>
      </w:r>
      <w:r>
        <w:rPr>
          <w:rFonts w:ascii="arial" w:eastAsia="arial" w:hAnsi="arial" w:cs="arial"/>
          <w:b w:val="0"/>
          <w:i/>
          <w:strike w:val="0"/>
          <w:noProof w:val="0"/>
          <w:color w:val="000000"/>
          <w:position w:val="0"/>
          <w:sz w:val="18"/>
          <w:u w:val="none"/>
          <w:vertAlign w:val="baseline"/>
        </w:rPr>
        <w:t>Boumediene</w:t>
      </w:r>
      <w:r>
        <w:rPr>
          <w:rFonts w:ascii="arial" w:eastAsia="arial" w:hAnsi="arial" w:cs="arial"/>
          <w:b w:val="0"/>
          <w:i w:val="0"/>
          <w:strike w:val="0"/>
          <w:noProof w:val="0"/>
          <w:color w:val="000000"/>
          <w:position w:val="0"/>
          <w:sz w:val="18"/>
          <w:u w:val="none"/>
          <w:vertAlign w:val="baseline"/>
        </w:rPr>
        <w:t>).</w:t>
      </w:r>
    </w:p>
  </w:footnote>
  <w:footnote w:id="1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102 </w:t>
      </w:r>
      <w:hyperlink r:id="rId71" w:history="1">
        <w:r>
          <w:rPr>
            <w:rFonts w:ascii="arial" w:eastAsia="arial" w:hAnsi="arial" w:cs="arial"/>
            <w:b w:val="0"/>
            <w:i/>
            <w:strike w:val="0"/>
            <w:noProof w:val="0"/>
            <w:color w:val="0077CC"/>
            <w:position w:val="0"/>
            <w:sz w:val="18"/>
            <w:u w:val="single"/>
            <w:shd w:val="clear" w:color="auto" w:fill="FFFFFF"/>
            <w:vertAlign w:val="baseline"/>
          </w:rPr>
          <w:t>INA § 242(e)</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8 U.S.C. § 1252(e)</w:t>
        </w:r>
      </w:hyperlink>
      <w:r>
        <w:rPr>
          <w:rFonts w:ascii="arial" w:eastAsia="arial" w:hAnsi="arial" w:cs="arial"/>
          <w:b w:val="0"/>
          <w:i w:val="0"/>
          <w:strike w:val="0"/>
          <w:noProof w:val="0"/>
          <w:color w:val="000000"/>
          <w:position w:val="0"/>
          <w:sz w:val="18"/>
          <w:u w:val="none"/>
          <w:vertAlign w:val="baseline"/>
        </w:rPr>
        <w:t>.</w:t>
      </w:r>
    </w:p>
  </w:footnote>
  <w:footnote w:id="10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103 </w:t>
      </w:r>
      <w:hyperlink r:id="rId71" w:history="1">
        <w:r>
          <w:rPr>
            <w:rFonts w:ascii="arial" w:eastAsia="arial" w:hAnsi="arial" w:cs="arial"/>
            <w:b w:val="0"/>
            <w:i/>
            <w:strike w:val="0"/>
            <w:noProof w:val="0"/>
            <w:color w:val="0077CC"/>
            <w:position w:val="0"/>
            <w:sz w:val="18"/>
            <w:u w:val="single"/>
            <w:shd w:val="clear" w:color="auto" w:fill="FFFFFF"/>
            <w:vertAlign w:val="baseline"/>
          </w:rPr>
          <w:t>INA § 242(e)(2)</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8 U.S.C. § 1252(e)(2)</w:t>
        </w:r>
      </w:hyperlink>
      <w:r>
        <w:rPr>
          <w:rFonts w:ascii="arial" w:eastAsia="arial" w:hAnsi="arial" w:cs="arial"/>
          <w:b w:val="0"/>
          <w:i w:val="0"/>
          <w:strike w:val="0"/>
          <w:noProof w:val="0"/>
          <w:color w:val="000000"/>
          <w:position w:val="0"/>
          <w:sz w:val="18"/>
          <w:u w:val="none"/>
          <w:vertAlign w:val="baseline"/>
        </w:rPr>
        <w:t>.</w:t>
      </w:r>
    </w:p>
  </w:footnote>
  <w:footnote w:id="10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104 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66" w:history="1">
        <w:r>
          <w:rPr>
            <w:rFonts w:ascii="arial" w:eastAsia="arial" w:hAnsi="arial" w:cs="arial"/>
            <w:b w:val="0"/>
            <w:i/>
            <w:strike w:val="0"/>
            <w:noProof w:val="0"/>
            <w:color w:val="0077CC"/>
            <w:position w:val="0"/>
            <w:sz w:val="18"/>
            <w:u w:val="single"/>
            <w:shd w:val="clear" w:color="auto" w:fill="FFFFFF"/>
            <w:vertAlign w:val="baseline"/>
          </w:rPr>
          <w:t>Garcia de Rincon v. DHS, 539 F.3d 1133 (9th Cir. 2008)</w:t>
        </w:r>
      </w:hyperlink>
      <w:r>
        <w:rPr>
          <w:rFonts w:ascii="arial" w:eastAsia="arial" w:hAnsi="arial" w:cs="arial"/>
          <w:b w:val="0"/>
          <w:i w:val="0"/>
          <w:strike w:val="0"/>
          <w:noProof w:val="0"/>
          <w:color w:val="000000"/>
          <w:position w:val="0"/>
          <w:sz w:val="18"/>
          <w:u w:val="none"/>
          <w:vertAlign w:val="baseline"/>
        </w:rPr>
        <w:t xml:space="preserve"> (no due process rights in expedited removal and therefore no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to review due process challenge to reinstated expedited removal order); </w:t>
      </w:r>
      <w:hyperlink r:id="rId167" w:history="1">
        <w:r>
          <w:rPr>
            <w:rFonts w:ascii="arial" w:eastAsia="arial" w:hAnsi="arial" w:cs="arial"/>
            <w:b w:val="0"/>
            <w:i/>
            <w:strike w:val="0"/>
            <w:noProof w:val="0"/>
            <w:color w:val="0077CC"/>
            <w:position w:val="0"/>
            <w:sz w:val="18"/>
            <w:u w:val="single"/>
            <w:shd w:val="clear" w:color="auto" w:fill="FFFFFF"/>
            <w:vertAlign w:val="baseline"/>
          </w:rPr>
          <w:t>Ochoa-Carrillo v. Gonzales, 446 F.3d 781 (8th Cir. 2006)</w:t>
        </w:r>
      </w:hyperlink>
      <w:r>
        <w:rPr>
          <w:rFonts w:ascii="arial" w:eastAsia="arial" w:hAnsi="arial" w:cs="arial"/>
          <w:b w:val="0"/>
          <w:i w:val="0"/>
          <w:strike w:val="0"/>
          <w:noProof w:val="0"/>
          <w:color w:val="000000"/>
          <w:position w:val="0"/>
          <w:sz w:val="18"/>
          <w:u w:val="none"/>
          <w:vertAlign w:val="baseline"/>
        </w:rPr>
        <w:t xml:space="preserve"> (no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of reinstated expedited removal order); </w:t>
      </w:r>
      <w:hyperlink r:id="rId168" w:history="1">
        <w:r>
          <w:rPr>
            <w:rFonts w:ascii="arial" w:eastAsia="arial" w:hAnsi="arial" w:cs="arial"/>
            <w:b w:val="0"/>
            <w:i/>
            <w:strike w:val="0"/>
            <w:noProof w:val="0"/>
            <w:color w:val="0077CC"/>
            <w:position w:val="0"/>
            <w:sz w:val="18"/>
            <w:u w:val="single"/>
            <w:shd w:val="clear" w:color="auto" w:fill="FFFFFF"/>
            <w:vertAlign w:val="baseline"/>
          </w:rPr>
          <w:t>Brumme v. INS, 275 F.3d 443 (5th Cir. 2001)</w:t>
        </w:r>
      </w:hyperlink>
      <w:r>
        <w:rPr>
          <w:rFonts w:ascii="arial" w:eastAsia="arial" w:hAnsi="arial" w:cs="arial"/>
          <w:b w:val="0"/>
          <w:i w:val="0"/>
          <w:strike w:val="0"/>
          <w:noProof w:val="0"/>
          <w:color w:val="000000"/>
          <w:position w:val="0"/>
          <w:sz w:val="18"/>
          <w:u w:val="none"/>
          <w:vertAlign w:val="baseline"/>
        </w:rPr>
        <w:t xml:space="preserve"> (no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of whether person subject to expedited removal was admissible or entitled to relief).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169" w:history="1">
        <w:r>
          <w:rPr>
            <w:rFonts w:ascii="arial" w:eastAsia="arial" w:hAnsi="arial" w:cs="arial"/>
            <w:b w:val="0"/>
            <w:i/>
            <w:strike w:val="0"/>
            <w:noProof w:val="0"/>
            <w:color w:val="0077CC"/>
            <w:position w:val="0"/>
            <w:sz w:val="18"/>
            <w:u w:val="single"/>
            <w:shd w:val="clear" w:color="auto" w:fill="FFFFFF"/>
            <w:vertAlign w:val="baseline"/>
          </w:rPr>
          <w:t>American-Arab Anti-Discrimination Comm. v. Ashcroft, 272 F. Supp. 2d 650 (E.D. Mich. 2003)</w:t>
        </w:r>
      </w:hyperlink>
      <w:r>
        <w:rPr>
          <w:rFonts w:ascii="arial" w:eastAsia="arial" w:hAnsi="arial" w:cs="arial"/>
          <w:b w:val="0"/>
          <w:i w:val="0"/>
          <w:strike w:val="0"/>
          <w:noProof w:val="0"/>
          <w:color w:val="000000"/>
          <w:position w:val="0"/>
          <w:sz w:val="18"/>
          <w:u w:val="none"/>
          <w:vertAlign w:val="baseline"/>
        </w:rPr>
        <w:t xml:space="preserve"> (where person paroled in to the United States,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exists to review whether person lawfully subject to expedited removal process).</w:t>
      </w:r>
    </w:p>
  </w:footnote>
  <w:footnote w:id="105">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105 </w:t>
      </w:r>
      <w:r>
        <w:rPr>
          <w:rFonts w:ascii="arial" w:eastAsia="arial" w:hAnsi="arial" w:cs="arial"/>
          <w:b w:val="0"/>
          <w:i w:val="0"/>
          <w:strike w:val="0"/>
          <w:noProof w:val="0"/>
          <w:color w:val="000000"/>
          <w:position w:val="0"/>
          <w:sz w:val="18"/>
          <w:u w:val="none"/>
          <w:vertAlign w:val="baseline"/>
        </w:rPr>
        <w:t xml:space="preserve">This paragraph concerns use of the writ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and the federal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statute, 28 U.S.C. § 2241, to challenge the Attorney General’s detention decisions. It discusses the impact of the IIRAIRA and the REAL ID Act on the courts’ traditional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jurisdiction to entertain challenges to detention. For a substantive treatment of statutory and constitutional legal challenges to detention,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 108.05. Regarding whether exhaustion of administrative remedies is required before seeking federal court review, 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 104.02 and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 104.04[6].</w:t>
      </w:r>
    </w:p>
  </w:footnote>
  <w:footnote w:id="10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106 </w:t>
      </w:r>
      <w:hyperlink r:id="rId1" w:history="1">
        <w:r>
          <w:rPr>
            <w:rFonts w:ascii="arial" w:eastAsia="arial" w:hAnsi="arial" w:cs="arial"/>
            <w:b w:val="0"/>
            <w:i/>
            <w:strike w:val="0"/>
            <w:noProof w:val="0"/>
            <w:color w:val="0077CC"/>
            <w:position w:val="0"/>
            <w:sz w:val="18"/>
            <w:u w:val="single"/>
            <w:shd w:val="clear" w:color="auto" w:fill="FFFFFF"/>
            <w:vertAlign w:val="baseline"/>
          </w:rPr>
          <w:t>Harris v. Nelson, 394 U.S. 286, 290–91 (1969)</w:t>
        </w:r>
      </w:hyperlink>
      <w:r>
        <w:rPr>
          <w:rFonts w:ascii="arial" w:eastAsia="arial" w:hAnsi="arial" w:cs="arial"/>
          <w:b w:val="0"/>
          <w:i w:val="0"/>
          <w:strike w:val="0"/>
          <w:noProof w:val="0"/>
          <w:color w:val="000000"/>
          <w:position w:val="0"/>
          <w:sz w:val="18"/>
          <w:u w:val="none"/>
          <w:vertAlign w:val="baseline"/>
        </w:rPr>
        <w:t>.</w:t>
      </w:r>
    </w:p>
  </w:footnote>
  <w:footnote w:id="10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107 </w:t>
      </w:r>
      <w:hyperlink r:id="rId170" w:history="1">
        <w:r>
          <w:rPr>
            <w:rFonts w:ascii="arial" w:eastAsia="arial" w:hAnsi="arial" w:cs="arial"/>
            <w:b w:val="0"/>
            <w:i/>
            <w:strike w:val="0"/>
            <w:noProof w:val="0"/>
            <w:color w:val="0077CC"/>
            <w:position w:val="0"/>
            <w:sz w:val="18"/>
            <w:u w:val="single"/>
            <w:shd w:val="clear" w:color="auto" w:fill="FFFFFF"/>
            <w:vertAlign w:val="baseline"/>
          </w:rPr>
          <w:t>Kiareldeen v. Reno, 71 F. Supp. 2d 402, 407 (D.N.J. 1999)</w:t>
        </w:r>
      </w:hyperlink>
      <w:r>
        <w:rPr>
          <w:rFonts w:ascii="arial" w:eastAsia="arial" w:hAnsi="arial" w:cs="arial"/>
          <w:b w:val="0"/>
          <w:i w:val="0"/>
          <w:strike w:val="0"/>
          <w:noProof w:val="0"/>
          <w:color w:val="000000"/>
          <w:position w:val="0"/>
          <w:sz w:val="18"/>
          <w:u w:val="none"/>
          <w:vertAlign w:val="baseline"/>
        </w:rPr>
        <w:t>.</w:t>
      </w:r>
    </w:p>
  </w:footnote>
  <w:footnote w:id="10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108 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2241(c)(1)</w:t>
        </w:r>
      </w:hyperlink>
      <w:r>
        <w:rPr>
          <w:rFonts w:ascii="arial" w:eastAsia="arial" w:hAnsi="arial" w:cs="arial"/>
          <w:b w:val="0"/>
          <w:i w:val="0"/>
          <w:strike w:val="0"/>
          <w:noProof w:val="0"/>
          <w:color w:val="000000"/>
          <w:position w:val="0"/>
          <w:sz w:val="18"/>
          <w:u w:val="none"/>
          <w:vertAlign w:val="baseline"/>
        </w:rPr>
        <w:t xml:space="preserve">, </w:t>
      </w:r>
      <w:hyperlink r:id="rId23" w:history="1">
        <w:r>
          <w:rPr>
            <w:rFonts w:ascii="arial" w:eastAsia="arial" w:hAnsi="arial" w:cs="arial"/>
            <w:b w:val="0"/>
            <w:i/>
            <w:strike w:val="0"/>
            <w:noProof w:val="0"/>
            <w:color w:val="0077CC"/>
            <w:position w:val="0"/>
            <w:sz w:val="18"/>
            <w:u w:val="single"/>
            <w:shd w:val="clear" w:color="auto" w:fill="FFFFFF"/>
            <w:vertAlign w:val="baseline"/>
          </w:rPr>
          <w:t>(3)</w:t>
        </w:r>
      </w:hyperlink>
      <w:r>
        <w:rPr>
          <w:rFonts w:ascii="arial" w:eastAsia="arial" w:hAnsi="arial" w:cs="arial"/>
          <w:b w:val="0"/>
          <w:i w:val="0"/>
          <w:strike w:val="0"/>
          <w:noProof w:val="0"/>
          <w:color w:val="000000"/>
          <w:position w:val="0"/>
          <w:sz w:val="18"/>
          <w:u w:val="none"/>
          <w:vertAlign w:val="baseline"/>
        </w:rPr>
        <w:t>.</w:t>
      </w:r>
    </w:p>
  </w:footnote>
  <w:footnote w:id="10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109 </w:t>
      </w:r>
      <w:r>
        <w:rPr>
          <w:rFonts w:ascii="arial" w:eastAsia="arial" w:hAnsi="arial" w:cs="arial"/>
          <w:b w:val="0"/>
          <w:i w:val="0"/>
          <w:strike w:val="0"/>
          <w:noProof w:val="0"/>
          <w:color w:val="000000"/>
          <w:position w:val="0"/>
          <w:sz w:val="18"/>
          <w:u w:val="none"/>
          <w:vertAlign w:val="baseline"/>
        </w:rPr>
        <w:t>The relevant cases are discussed in the following subparagraphs</w:t>
      </w:r>
      <w:r>
        <w:rPr>
          <w:rFonts w:ascii="arial" w:eastAsia="arial" w:hAnsi="arial" w:cs="arial"/>
          <w:b w:val="0"/>
          <w:i/>
          <w:strike w:val="0"/>
          <w:noProof w:val="0"/>
          <w:color w:val="000000"/>
          <w:position w:val="0"/>
          <w:sz w:val="18"/>
          <w:u w:val="none"/>
          <w:vertAlign w:val="baseline"/>
        </w:rPr>
        <w:t>.</w:t>
      </w:r>
    </w:p>
  </w:footnote>
  <w:footnote w:id="11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110 </w:t>
      </w:r>
      <w:r>
        <w:rPr>
          <w:rFonts w:ascii="arial" w:eastAsia="arial" w:hAnsi="arial" w:cs="arial"/>
          <w:b w:val="0"/>
          <w:i w:val="0"/>
          <w:strike w:val="0"/>
          <w:noProof w:val="0"/>
          <w:color w:val="000000"/>
          <w:position w:val="0"/>
          <w:sz w:val="18"/>
          <w:u w:val="none"/>
          <w:vertAlign w:val="baseline"/>
        </w:rPr>
        <w:t xml:space="preserve">The pertinent section of the REAL ID Act conference report states that § 106 of the REAL ID Act “would not preclude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over challenges to detention that are independent of challenges to removal orders. Instead, the bill would eliminate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only over challenges to removal orders.” H.R. Rep. No. 109-72, at 175 (2005) (Conf. Rep.).</w:t>
      </w:r>
    </w:p>
  </w:footnote>
  <w:footnote w:id="11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111 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permitted</w:t>
      </w:r>
      <w:r>
        <w:rPr>
          <w:rFonts w:ascii="arial" w:eastAsia="arial" w:hAnsi="arial" w:cs="arial"/>
          <w:b w:val="0"/>
          <w:i w:val="0"/>
          <w:strike w:val="0"/>
          <w:noProof w:val="0"/>
          <w:color w:val="000000"/>
          <w:position w:val="0"/>
          <w:sz w:val="18"/>
          <w:u w:val="none"/>
          <w:vertAlign w:val="baseline"/>
        </w:rPr>
        <w:t xml:space="preserve">: </w:t>
      </w:r>
      <w:hyperlink r:id="rId171" w:history="1">
        <w:r>
          <w:rPr>
            <w:rFonts w:ascii="arial" w:eastAsia="arial" w:hAnsi="arial" w:cs="arial"/>
            <w:b w:val="0"/>
            <w:i/>
            <w:strike w:val="0"/>
            <w:noProof w:val="0"/>
            <w:color w:val="0077CC"/>
            <w:position w:val="0"/>
            <w:sz w:val="18"/>
            <w:u w:val="single"/>
            <w:shd w:val="clear" w:color="auto" w:fill="FFFFFF"/>
            <w:vertAlign w:val="baseline"/>
          </w:rPr>
          <w:t>Flores-Torres v. Mukasey, 548 F.3d 708 (9th Cir. 2008)</w:t>
        </w:r>
      </w:hyperlink>
      <w:r>
        <w:rPr>
          <w:rFonts w:ascii="arial" w:eastAsia="arial" w:hAnsi="arial" w:cs="arial"/>
          <w:b w:val="0"/>
          <w:i w:val="0"/>
          <w:strike w:val="0"/>
          <w:noProof w:val="0"/>
          <w:color w:val="000000"/>
          <w:position w:val="0"/>
          <w:sz w:val="18"/>
          <w:u w:val="none"/>
          <w:vertAlign w:val="baseline"/>
        </w:rPr>
        <w:t xml:space="preserve"> (seeking release from detention based on underlying citizenship claim); </w:t>
      </w:r>
      <w:hyperlink r:id="rId172" w:history="1">
        <w:r>
          <w:rPr>
            <w:rFonts w:ascii="arial" w:eastAsia="arial" w:hAnsi="arial" w:cs="arial"/>
            <w:b w:val="0"/>
            <w:i/>
            <w:strike w:val="0"/>
            <w:noProof w:val="0"/>
            <w:color w:val="0077CC"/>
            <w:position w:val="0"/>
            <w:sz w:val="18"/>
            <w:u w:val="single"/>
            <w:shd w:val="clear" w:color="auto" w:fill="FFFFFF"/>
            <w:vertAlign w:val="baseline"/>
          </w:rPr>
          <w:t>Kumarasamy v. Att’y Gen., 453 F.3d 169 (3d Cir. 2006)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of claim that deportation was illegal where no order of removal); </w:t>
      </w:r>
      <w:hyperlink r:id="rId173" w:history="1">
        <w:r>
          <w:rPr>
            <w:rFonts w:ascii="arial" w:eastAsia="arial" w:hAnsi="arial" w:cs="arial"/>
            <w:b w:val="0"/>
            <w:i/>
            <w:strike w:val="0"/>
            <w:noProof w:val="0"/>
            <w:color w:val="0077CC"/>
            <w:position w:val="0"/>
            <w:sz w:val="18"/>
            <w:u w:val="single"/>
            <w:shd w:val="clear" w:color="auto" w:fill="FFFFFF"/>
            <w:vertAlign w:val="baseline"/>
          </w:rPr>
          <w:t>Ali v. Gonzales, 421 F.3d 795 (9th Cir. 2005)</w:t>
        </w:r>
      </w:hyperlink>
      <w:r>
        <w:rPr>
          <w:rFonts w:ascii="arial" w:eastAsia="arial" w:hAnsi="arial" w:cs="arial"/>
          <w:b w:val="0"/>
          <w:i w:val="0"/>
          <w:strike w:val="0"/>
          <w:noProof w:val="0"/>
          <w:color w:val="000000"/>
          <w:position w:val="0"/>
          <w:sz w:val="18"/>
          <w:u w:val="none"/>
          <w:vertAlign w:val="baseline"/>
        </w:rPr>
        <w:t xml:space="preserve"> (seeking injunctive relief preventing removal to a certain country where removal order itself is not being challenged); </w:t>
      </w:r>
      <w:hyperlink r:id="rId174" w:history="1">
        <w:r>
          <w:rPr>
            <w:rFonts w:ascii="arial" w:eastAsia="arial" w:hAnsi="arial" w:cs="arial"/>
            <w:b w:val="0"/>
            <w:i/>
            <w:strike w:val="0"/>
            <w:noProof w:val="0"/>
            <w:color w:val="0077CC"/>
            <w:position w:val="0"/>
            <w:sz w:val="18"/>
            <w:u w:val="single"/>
            <w:shd w:val="clear" w:color="auto" w:fill="FFFFFF"/>
            <w:vertAlign w:val="baseline"/>
          </w:rPr>
          <w:t>Abdulle v. Gonzales, 422 F. Supp. 2d 774 (W.D. Tex. 2006)</w:t>
        </w:r>
      </w:hyperlink>
      <w:r>
        <w:rPr>
          <w:rFonts w:ascii="arial" w:eastAsia="arial" w:hAnsi="arial" w:cs="arial"/>
          <w:b w:val="0"/>
          <w:i w:val="0"/>
          <w:strike w:val="0"/>
          <w:noProof w:val="0"/>
          <w:color w:val="000000"/>
          <w:position w:val="0"/>
          <w:sz w:val="18"/>
          <w:u w:val="none"/>
          <w:vertAlign w:val="baseline"/>
        </w:rPr>
        <w:t xml:space="preserve"> (REAL ID does not bar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of detention);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denied</w:t>
      </w:r>
      <w:r>
        <w:rPr>
          <w:rFonts w:ascii="arial" w:eastAsia="arial" w:hAnsi="arial" w:cs="arial"/>
          <w:b w:val="0"/>
          <w:i w:val="0"/>
          <w:strike w:val="0"/>
          <w:noProof w:val="0"/>
          <w:color w:val="000000"/>
          <w:position w:val="0"/>
          <w:sz w:val="18"/>
          <w:u w:val="none"/>
          <w:vertAlign w:val="baseline"/>
        </w:rPr>
        <w:t xml:space="preserve">: </w:t>
      </w:r>
      <w:hyperlink r:id="rId175" w:history="1">
        <w:r>
          <w:rPr>
            <w:rFonts w:ascii="arial" w:eastAsia="arial" w:hAnsi="arial" w:cs="arial"/>
            <w:b w:val="0"/>
            <w:i/>
            <w:strike w:val="0"/>
            <w:noProof w:val="0"/>
            <w:color w:val="0077CC"/>
            <w:position w:val="0"/>
            <w:sz w:val="18"/>
            <w:u w:val="single"/>
            <w:shd w:val="clear" w:color="auto" w:fill="FFFFFF"/>
            <w:vertAlign w:val="baseline"/>
          </w:rPr>
          <w:t>Hamad v. Gates, 732 F.3d 990, 1006 (9th Cir. 2013)</w:t>
        </w:r>
      </w:hyperlink>
      <w:r>
        <w:rPr>
          <w:rFonts w:ascii="arial" w:eastAsia="arial" w:hAnsi="arial" w:cs="arial"/>
          <w:b w:val="0"/>
          <w:i w:val="0"/>
          <w:strike w:val="0"/>
          <w:noProof w:val="0"/>
          <w:color w:val="000000"/>
          <w:position w:val="0"/>
          <w:sz w:val="18"/>
          <w:u w:val="none"/>
          <w:vertAlign w:val="baseline"/>
        </w:rPr>
        <w:t xml:space="preserve">; </w:t>
      </w:r>
      <w:hyperlink r:id="rId176" w:history="1">
        <w:r>
          <w:rPr>
            <w:rFonts w:ascii="arial" w:eastAsia="arial" w:hAnsi="arial" w:cs="arial"/>
            <w:b w:val="0"/>
            <w:i/>
            <w:strike w:val="0"/>
            <w:noProof w:val="0"/>
            <w:color w:val="0077CC"/>
            <w:position w:val="0"/>
            <w:sz w:val="18"/>
            <w:u w:val="single"/>
            <w:shd w:val="clear" w:color="auto" w:fill="FFFFFF"/>
            <w:vertAlign w:val="baseline"/>
          </w:rPr>
          <w:t>Sylvain v. Att’y Gen., 714 F.3d 150, 155 (3d Cir. 2013)</w:t>
        </w:r>
      </w:hyperlink>
      <w:r>
        <w:rPr>
          <w:rFonts w:ascii="arial" w:eastAsia="arial" w:hAnsi="arial" w:cs="arial"/>
          <w:b w:val="0"/>
          <w:i w:val="0"/>
          <w:strike w:val="0"/>
          <w:noProof w:val="0"/>
          <w:color w:val="000000"/>
          <w:position w:val="0"/>
          <w:sz w:val="18"/>
          <w:u w:val="none"/>
          <w:vertAlign w:val="baseline"/>
        </w:rPr>
        <w:t xml:space="preserve">; </w:t>
      </w:r>
      <w:hyperlink r:id="rId166" w:history="1">
        <w:r>
          <w:rPr>
            <w:rFonts w:ascii="arial" w:eastAsia="arial" w:hAnsi="arial" w:cs="arial"/>
            <w:b w:val="0"/>
            <w:i/>
            <w:strike w:val="0"/>
            <w:noProof w:val="0"/>
            <w:color w:val="0077CC"/>
            <w:position w:val="0"/>
            <w:sz w:val="18"/>
            <w:u w:val="single"/>
            <w:shd w:val="clear" w:color="auto" w:fill="FFFFFF"/>
            <w:vertAlign w:val="baseline"/>
          </w:rPr>
          <w:t>Garcia de Rincon v. DHS, 539 F.3d 1133 (9th Cir. 2008)</w:t>
        </w:r>
      </w:hyperlink>
      <w:r>
        <w:rPr>
          <w:rFonts w:ascii="arial" w:eastAsia="arial" w:hAnsi="arial" w:cs="arial"/>
          <w:b w:val="0"/>
          <w:i w:val="0"/>
          <w:strike w:val="0"/>
          <w:noProof w:val="0"/>
          <w:color w:val="000000"/>
          <w:position w:val="0"/>
          <w:sz w:val="18"/>
          <w:u w:val="none"/>
          <w:vertAlign w:val="baseline"/>
        </w:rPr>
        <w:t xml:space="preserve"> (no jurisdiction to review due process challenge to reinstated expedited removal order); </w:t>
      </w:r>
      <w:hyperlink r:id="rId177" w:history="1">
        <w:r>
          <w:rPr>
            <w:rFonts w:ascii="arial" w:eastAsia="arial" w:hAnsi="arial" w:cs="arial"/>
            <w:b w:val="0"/>
            <w:i/>
            <w:strike w:val="0"/>
            <w:noProof w:val="0"/>
            <w:color w:val="0077CC"/>
            <w:position w:val="0"/>
            <w:sz w:val="18"/>
            <w:u w:val="single"/>
            <w:shd w:val="clear" w:color="auto" w:fill="FFFFFF"/>
            <w:vertAlign w:val="baseline"/>
          </w:rPr>
          <w:t>Wahid v. Gates, 876 F. Supp. 2d 15, 17–21 (D.D.C. 2012)</w:t>
        </w:r>
      </w:hyperlink>
      <w:r>
        <w:rPr>
          <w:rFonts w:ascii="arial" w:eastAsia="arial" w:hAnsi="arial" w:cs="arial"/>
          <w:b w:val="0"/>
          <w:i w:val="0"/>
          <w:strike w:val="0"/>
          <w:noProof w:val="0"/>
          <w:color w:val="000000"/>
          <w:position w:val="0"/>
          <w:sz w:val="18"/>
          <w:u w:val="none"/>
          <w:vertAlign w:val="baseline"/>
        </w:rPr>
        <w:t xml:space="preserve">; </w:t>
      </w:r>
      <w:hyperlink r:id="rId178" w:history="1">
        <w:r>
          <w:rPr>
            <w:rFonts w:ascii="arial" w:eastAsia="arial" w:hAnsi="arial" w:cs="arial"/>
            <w:b w:val="0"/>
            <w:i/>
            <w:strike w:val="0"/>
            <w:noProof w:val="0"/>
            <w:color w:val="0077CC"/>
            <w:position w:val="0"/>
            <w:sz w:val="18"/>
            <w:u w:val="single"/>
            <w:shd w:val="clear" w:color="auto" w:fill="FFFFFF"/>
            <w:vertAlign w:val="baseline"/>
          </w:rPr>
          <w:t>Deljevic v. Baker, 463 F. Supp. 2d 699 (E.D. Mich. 2006)</w:t>
        </w:r>
      </w:hyperlink>
      <w:r>
        <w:rPr>
          <w:rFonts w:ascii="arial" w:eastAsia="arial" w:hAnsi="arial" w:cs="arial"/>
          <w:b w:val="0"/>
          <w:i w:val="0"/>
          <w:strike w:val="0"/>
          <w:noProof w:val="0"/>
          <w:color w:val="000000"/>
          <w:position w:val="0"/>
          <w:sz w:val="18"/>
          <w:u w:val="none"/>
          <w:vertAlign w:val="baseline"/>
        </w:rPr>
        <w:t xml:space="preserve"> (no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where detention challenged on ground that final order was improper).</w:t>
      </w:r>
    </w:p>
  </w:footnote>
  <w:footnote w:id="1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112 </w:t>
      </w:r>
      <w:hyperlink r:id="rId179" w:history="1">
        <w:r>
          <w:rPr>
            <w:rFonts w:ascii="arial" w:eastAsia="arial" w:hAnsi="arial" w:cs="arial"/>
            <w:b w:val="0"/>
            <w:i/>
            <w:strike w:val="0"/>
            <w:noProof w:val="0"/>
            <w:color w:val="0077CC"/>
            <w:position w:val="0"/>
            <w:sz w:val="18"/>
            <w:u w:val="single"/>
            <w:shd w:val="clear" w:color="auto" w:fill="FFFFFF"/>
            <w:vertAlign w:val="baseline"/>
          </w:rPr>
          <w:t>638 F.3d 1196, 1211 (9th Cir. 2011)</w:t>
        </w:r>
      </w:hyperlink>
      <w:r>
        <w:rPr>
          <w:rFonts w:ascii="arial" w:eastAsia="arial" w:hAnsi="arial" w:cs="arial"/>
          <w:b w:val="0"/>
          <w:i w:val="0"/>
          <w:strike w:val="0"/>
          <w:noProof w:val="0"/>
          <w:color w:val="000000"/>
          <w:position w:val="0"/>
          <w:sz w:val="18"/>
          <w:u w:val="none"/>
          <w:vertAlign w:val="baseline"/>
        </w:rPr>
        <w:t>.</w:t>
      </w:r>
    </w:p>
  </w:footnote>
  <w:footnote w:id="11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113 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(citing </w:t>
      </w:r>
      <w:hyperlink r:id="rId171" w:history="1">
        <w:r>
          <w:rPr>
            <w:rFonts w:ascii="arial" w:eastAsia="arial" w:hAnsi="arial" w:cs="arial"/>
            <w:b w:val="0"/>
            <w:i/>
            <w:strike w:val="0"/>
            <w:noProof w:val="0"/>
            <w:color w:val="0077CC"/>
            <w:position w:val="0"/>
            <w:sz w:val="18"/>
            <w:u w:val="single"/>
            <w:shd w:val="clear" w:color="auto" w:fill="FFFFFF"/>
            <w:vertAlign w:val="baseline"/>
          </w:rPr>
          <w:t>Flores-Torres v. Mukasey, 548 F.3d 708 (9th Cir. 2008)</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to review detention challenge based on argument that petitioner was actually a U.S. citizen and therefore not subject to detention));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0" w:history="1">
        <w:r>
          <w:rPr>
            <w:rFonts w:ascii="arial" w:eastAsia="arial" w:hAnsi="arial" w:cs="arial"/>
            <w:b w:val="0"/>
            <w:i/>
            <w:strike w:val="0"/>
            <w:noProof w:val="0"/>
            <w:color w:val="0077CC"/>
            <w:position w:val="0"/>
            <w:sz w:val="18"/>
            <w:u w:val="single"/>
            <w:shd w:val="clear" w:color="auto" w:fill="FFFFFF"/>
            <w:vertAlign w:val="baseline"/>
          </w:rPr>
          <w:t>Singh v. Gonzales, 499 F.3d 969, 979 (9th Cir. 2007)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to review a claim of ineffective assistance of counsel “because a successful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will lead to nothing more than a ‘day in court’ for petitioner, which is consistent with Congressional intent underlying the REAL ID Act”).</w:t>
      </w:r>
    </w:p>
  </w:footnote>
  <w:footnote w:id="1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114 </w:t>
      </w:r>
      <w:hyperlink r:id="rId179" w:history="1">
        <w:r>
          <w:rPr>
            <w:rFonts w:ascii="arial" w:eastAsia="arial" w:hAnsi="arial" w:cs="arial"/>
            <w:b w:val="0"/>
            <w:i/>
            <w:strike w:val="0"/>
            <w:noProof w:val="0"/>
            <w:color w:val="0077CC"/>
            <w:position w:val="0"/>
            <w:sz w:val="18"/>
            <w:u w:val="single"/>
            <w:shd w:val="clear" w:color="auto" w:fill="FFFFFF"/>
            <w:vertAlign w:val="baseline"/>
          </w:rPr>
          <w:t>Singh v. Holder, 638 F.3d 1196, 1211 (9th Cir. 2011)</w:t>
        </w:r>
      </w:hyperlink>
      <w:r>
        <w:rPr>
          <w:rFonts w:ascii="arial" w:eastAsia="arial" w:hAnsi="arial" w:cs="arial"/>
          <w:b w:val="0"/>
          <w:i w:val="0"/>
          <w:strike w:val="0"/>
          <w:noProof w:val="0"/>
          <w:color w:val="000000"/>
          <w:position w:val="0"/>
          <w:sz w:val="18"/>
          <w:u w:val="none"/>
          <w:vertAlign w:val="baseline"/>
        </w:rPr>
        <w:t>.</w:t>
      </w:r>
    </w:p>
  </w:footnote>
  <w:footnote w:id="11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115 </w:t>
      </w:r>
      <w:hyperlink r:id="rId181" w:history="1">
        <w:r>
          <w:rPr>
            <w:rFonts w:ascii="arial" w:eastAsia="arial" w:hAnsi="arial" w:cs="arial"/>
            <w:b w:val="0"/>
            <w:i/>
            <w:strike w:val="0"/>
            <w:noProof w:val="0"/>
            <w:color w:val="0077CC"/>
            <w:position w:val="0"/>
            <w:sz w:val="18"/>
            <w:u w:val="single"/>
            <w:shd w:val="clear" w:color="auto" w:fill="FFFFFF"/>
            <w:vertAlign w:val="baseline"/>
          </w:rPr>
          <w:t>538 U.S. 510 (2003)</w:t>
        </w:r>
      </w:hyperlink>
      <w:r>
        <w:rPr>
          <w:rFonts w:ascii="arial" w:eastAsia="arial" w:hAnsi="arial" w:cs="arial"/>
          <w:b w:val="0"/>
          <w:i w:val="0"/>
          <w:strike w:val="0"/>
          <w:noProof w:val="0"/>
          <w:color w:val="000000"/>
          <w:position w:val="0"/>
          <w:sz w:val="18"/>
          <w:u w:val="none"/>
          <w:vertAlign w:val="baseline"/>
        </w:rPr>
        <w:t>.</w:t>
      </w:r>
    </w:p>
  </w:footnote>
  <w:footnote w:id="1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116 </w:t>
      </w:r>
      <w:hyperlink r:id="rId181"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81" w:history="1">
        <w:r>
          <w:rPr>
            <w:rFonts w:ascii="arial" w:eastAsia="arial" w:hAnsi="arial" w:cs="arial"/>
            <w:b w:val="0"/>
            <w:i/>
            <w:strike w:val="0"/>
            <w:noProof w:val="0"/>
            <w:color w:val="0077CC"/>
            <w:position w:val="0"/>
            <w:sz w:val="18"/>
            <w:u w:val="single"/>
            <w:shd w:val="clear" w:color="auto" w:fill="FFFFFF"/>
            <w:vertAlign w:val="baseline"/>
          </w:rPr>
          <w:t>. at 517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2" w:history="1">
        <w:r>
          <w:rPr>
            <w:rFonts w:ascii="arial" w:eastAsia="arial" w:hAnsi="arial" w:cs="arial"/>
            <w:b w:val="0"/>
            <w:i/>
            <w:strike w:val="0"/>
            <w:noProof w:val="0"/>
            <w:color w:val="0077CC"/>
            <w:position w:val="0"/>
            <w:sz w:val="18"/>
            <w:u w:val="single"/>
            <w:shd w:val="clear" w:color="auto" w:fill="FFFFFF"/>
            <w:vertAlign w:val="baseline"/>
          </w:rPr>
          <w:t>Parra v. Perryman, 172 F.3d at 954, 957 (7th Cir. 1999)</w:t>
        </w:r>
      </w:hyperlink>
      <w:r>
        <w:rPr>
          <w:rFonts w:ascii="arial" w:eastAsia="arial" w:hAnsi="arial" w:cs="arial"/>
          <w:b w:val="0"/>
          <w:i w:val="0"/>
          <w:strike w:val="0"/>
          <w:noProof w:val="0"/>
          <w:color w:val="000000"/>
          <w:position w:val="0"/>
          <w:sz w:val="18"/>
          <w:u w:val="none"/>
          <w:vertAlign w:val="baseline"/>
        </w:rPr>
        <w:t xml:space="preserve"> (the district court had jurisdiction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to consider challenge to </w:t>
      </w:r>
      <w:hyperlink r:id="rId183" w:history="1">
        <w:r>
          <w:rPr>
            <w:rFonts w:ascii="arial" w:eastAsia="arial" w:hAnsi="arial" w:cs="arial"/>
            <w:b w:val="0"/>
            <w:i/>
            <w:strike w:val="0"/>
            <w:noProof w:val="0"/>
            <w:color w:val="0077CC"/>
            <w:position w:val="0"/>
            <w:sz w:val="18"/>
            <w:u w:val="single"/>
            <w:shd w:val="clear" w:color="auto" w:fill="FFFFFF"/>
            <w:vertAlign w:val="baseline"/>
          </w:rPr>
          <w:t>INA § 236(c)</w:t>
        </w:r>
      </w:hyperlink>
      <w:r>
        <w:rPr>
          <w:rFonts w:ascii="arial" w:eastAsia="arial" w:hAnsi="arial" w:cs="arial"/>
          <w:b w:val="0"/>
          <w:i w:val="0"/>
          <w:strike w:val="0"/>
          <w:noProof w:val="0"/>
          <w:color w:val="000000"/>
          <w:position w:val="0"/>
          <w:sz w:val="18"/>
          <w:u w:val="none"/>
          <w:vertAlign w:val="baseline"/>
        </w:rPr>
        <w:t xml:space="preserve"> itself).</w:t>
      </w:r>
    </w:p>
  </w:footnote>
  <w:footnote w:id="1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117 </w:t>
      </w:r>
      <w:hyperlink r:id="rId181" w:history="1">
        <w:r>
          <w:rPr>
            <w:rFonts w:ascii="arial" w:eastAsia="arial" w:hAnsi="arial" w:cs="arial"/>
            <w:b w:val="0"/>
            <w:i/>
            <w:strike w:val="0"/>
            <w:noProof w:val="0"/>
            <w:color w:val="0077CC"/>
            <w:position w:val="0"/>
            <w:sz w:val="18"/>
            <w:u w:val="single"/>
            <w:shd w:val="clear" w:color="auto" w:fill="FFFFFF"/>
            <w:vertAlign w:val="baseline"/>
          </w:rPr>
          <w:t>Demore</w:t>
        </w:r>
      </w:hyperlink>
      <w:hyperlink r:id="rId181" w:history="1">
        <w:r>
          <w:rPr>
            <w:rFonts w:ascii="arial" w:eastAsia="arial" w:hAnsi="arial" w:cs="arial"/>
            <w:b w:val="0"/>
            <w:i/>
            <w:strike w:val="0"/>
            <w:noProof w:val="0"/>
            <w:color w:val="0077CC"/>
            <w:position w:val="0"/>
            <w:sz w:val="18"/>
            <w:u w:val="single"/>
            <w:shd w:val="clear" w:color="auto" w:fill="FFFFFF"/>
            <w:vertAlign w:val="baseline"/>
          </w:rPr>
          <w:t>, 538 U.S. at 517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(2001)</w:t>
        </w:r>
      </w:hyperlink>
      <w:r>
        <w:rPr>
          <w:rFonts w:ascii="arial" w:eastAsia="arial" w:hAnsi="arial" w:cs="arial"/>
          <w:b w:val="0"/>
          <w:i w:val="0"/>
          <w:strike w:val="0"/>
          <w:noProof w:val="0"/>
          <w:color w:val="000000"/>
          <w:position w:val="0"/>
          <w:sz w:val="18"/>
          <w:u w:val="none"/>
          <w:vertAlign w:val="baseline"/>
        </w:rPr>
        <w:t>.</w:t>
      </w:r>
    </w:p>
  </w:footnote>
  <w:footnote w:id="1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118 </w:t>
      </w:r>
      <w:hyperlink r:id="rId181" w:history="1">
        <w:r>
          <w:rPr>
            <w:rFonts w:ascii="arial" w:eastAsia="arial" w:hAnsi="arial" w:cs="arial"/>
            <w:b w:val="0"/>
            <w:i/>
            <w:strike w:val="0"/>
            <w:noProof w:val="0"/>
            <w:color w:val="0077CC"/>
            <w:position w:val="0"/>
            <w:sz w:val="18"/>
            <w:u w:val="single"/>
            <w:shd w:val="clear" w:color="auto" w:fill="FFFFFF"/>
            <w:vertAlign w:val="baseline"/>
          </w:rPr>
          <w:t>Demore</w:t>
        </w:r>
      </w:hyperlink>
      <w:hyperlink r:id="rId181" w:history="1">
        <w:r>
          <w:rPr>
            <w:rFonts w:ascii="arial" w:eastAsia="arial" w:hAnsi="arial" w:cs="arial"/>
            <w:b w:val="0"/>
            <w:i/>
            <w:strike w:val="0"/>
            <w:noProof w:val="0"/>
            <w:color w:val="0077CC"/>
            <w:position w:val="0"/>
            <w:sz w:val="18"/>
            <w:u w:val="single"/>
            <w:shd w:val="clear" w:color="auto" w:fill="FFFFFF"/>
            <w:vertAlign w:val="baseline"/>
          </w:rPr>
          <w:t>, 538 U.S. at 516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4" w:history="1">
        <w:r>
          <w:rPr>
            <w:rFonts w:ascii="arial" w:eastAsia="arial" w:hAnsi="arial" w:cs="arial"/>
            <w:b w:val="0"/>
            <w:i/>
            <w:strike w:val="0"/>
            <w:noProof w:val="0"/>
            <w:color w:val="0077CC"/>
            <w:position w:val="0"/>
            <w:sz w:val="18"/>
            <w:u w:val="single"/>
            <w:shd w:val="clear" w:color="auto" w:fill="FFFFFF"/>
            <w:vertAlign w:val="baseline"/>
          </w:rPr>
          <w:t>Welch v. Ashcroft, 293 F.3d 213, 227 (4th Cir. 2002)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recognized; a bail hearing is not necessarily required, but was appropriate in the specific case of the petitioner); </w:t>
      </w:r>
      <w:hyperlink r:id="rId185" w:history="1">
        <w:r>
          <w:rPr>
            <w:rFonts w:ascii="arial" w:eastAsia="arial" w:hAnsi="arial" w:cs="arial"/>
            <w:b w:val="0"/>
            <w:i/>
            <w:strike w:val="0"/>
            <w:noProof w:val="0"/>
            <w:color w:val="0077CC"/>
            <w:position w:val="0"/>
            <w:sz w:val="18"/>
            <w:u w:val="single"/>
            <w:shd w:val="clear" w:color="auto" w:fill="FFFFFF"/>
            <w:vertAlign w:val="baseline"/>
          </w:rPr>
          <w:t>Forbes v. Perryman, 244 F. Supp. 2d 947, 949 (N.D. Ill.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recognized; the lack of an individualized bail hearing is unconstitutional in the case of detainees with good-faith claims that they will ultimately be permitted to remain in the country) (collecting cases). Constitutional challenges to mandatory detention, specifically the lack of an individualized bail hearing, are discussed in detail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86" w:history="1">
        <w:r>
          <w:rPr>
            <w:rFonts w:ascii="arial" w:eastAsia="arial" w:hAnsi="arial" w:cs="arial"/>
            <w:b w:val="0"/>
            <w:i/>
            <w:strike w:val="0"/>
            <w:noProof w:val="0"/>
            <w:color w:val="0077CC"/>
            <w:position w:val="0"/>
            <w:sz w:val="18"/>
            <w:u w:val="single"/>
            <w:shd w:val="clear" w:color="auto" w:fill="FFFFFF"/>
            <w:vertAlign w:val="baseline"/>
          </w:rPr>
          <w:t>in § 108.05</w:t>
        </w:r>
      </w:hyperlink>
      <w:r>
        <w:rPr>
          <w:rFonts w:ascii="arial" w:eastAsia="arial" w:hAnsi="arial" w:cs="arial"/>
          <w:b w:val="0"/>
          <w:i w:val="0"/>
          <w:strike w:val="0"/>
          <w:noProof w:val="0"/>
          <w:color w:val="000000"/>
          <w:position w:val="0"/>
          <w:sz w:val="18"/>
          <w:u w:val="none"/>
          <w:vertAlign w:val="baseline"/>
        </w:rPr>
        <w:t>.</w:t>
      </w:r>
    </w:p>
  </w:footnote>
  <w:footnote w:id="1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119 </w:t>
      </w:r>
      <w:hyperlink r:id="rId181" w:history="1">
        <w:r>
          <w:rPr>
            <w:rFonts w:ascii="arial" w:eastAsia="arial" w:hAnsi="arial" w:cs="arial"/>
            <w:b w:val="0"/>
            <w:i/>
            <w:strike w:val="0"/>
            <w:noProof w:val="0"/>
            <w:color w:val="0077CC"/>
            <w:position w:val="0"/>
            <w:sz w:val="18"/>
            <w:u w:val="single"/>
            <w:shd w:val="clear" w:color="auto" w:fill="FFFFFF"/>
            <w:vertAlign w:val="baseline"/>
          </w:rPr>
          <w:t>Demore</w:t>
        </w:r>
      </w:hyperlink>
      <w:hyperlink r:id="rId181" w:history="1">
        <w:r>
          <w:rPr>
            <w:rFonts w:ascii="arial" w:eastAsia="arial" w:hAnsi="arial" w:cs="arial"/>
            <w:b w:val="0"/>
            <w:i/>
            <w:strike w:val="0"/>
            <w:noProof w:val="0"/>
            <w:color w:val="0077CC"/>
            <w:position w:val="0"/>
            <w:sz w:val="18"/>
            <w:u w:val="single"/>
            <w:shd w:val="clear" w:color="auto" w:fill="FFFFFF"/>
            <w:vertAlign w:val="baseline"/>
          </w:rPr>
          <w:t>, 538 U.S. at 516–17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2" w:history="1">
        <w:r>
          <w:rPr>
            <w:rFonts w:ascii="arial" w:eastAsia="arial" w:hAnsi="arial" w:cs="arial"/>
            <w:b w:val="0"/>
            <w:i/>
            <w:strike w:val="0"/>
            <w:noProof w:val="0"/>
            <w:color w:val="0077CC"/>
            <w:position w:val="0"/>
            <w:sz w:val="18"/>
            <w:u w:val="single"/>
            <w:shd w:val="clear" w:color="auto" w:fill="FFFFFF"/>
            <w:vertAlign w:val="baseline"/>
          </w:rPr>
          <w:t>Parra v. Perryman, 172 F.3d 954, 957 (7th Cir. 1999)</w:t>
        </w:r>
      </w:hyperlink>
      <w:r>
        <w:rPr>
          <w:rFonts w:ascii="arial" w:eastAsia="arial" w:hAnsi="arial" w:cs="arial"/>
          <w:b w:val="0"/>
          <w:i w:val="0"/>
          <w:strike w:val="0"/>
          <w:noProof w:val="0"/>
          <w:color w:val="000000"/>
          <w:position w:val="0"/>
          <w:sz w:val="18"/>
          <w:u w:val="none"/>
          <w:vertAlign w:val="baseline"/>
        </w:rPr>
        <w:t>.</w:t>
      </w:r>
    </w:p>
  </w:footnote>
  <w:footnote w:id="12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120 </w:t>
      </w:r>
      <w:hyperlink r:id="rId182" w:history="1">
        <w:r>
          <w:rPr>
            <w:rFonts w:ascii="arial" w:eastAsia="arial" w:hAnsi="arial" w:cs="arial"/>
            <w:b w:val="0"/>
            <w:i/>
            <w:strike w:val="0"/>
            <w:noProof w:val="0"/>
            <w:color w:val="0077CC"/>
            <w:position w:val="0"/>
            <w:sz w:val="18"/>
            <w:u w:val="single"/>
            <w:shd w:val="clear" w:color="auto" w:fill="FFFFFF"/>
            <w:vertAlign w:val="baseline"/>
          </w:rPr>
          <w:t>172 F.3d 954, 957 (7th Cir. 1999)</w:t>
        </w:r>
      </w:hyperlink>
      <w:r>
        <w:rPr>
          <w:rFonts w:ascii="arial" w:eastAsia="arial" w:hAnsi="arial" w:cs="arial"/>
          <w:b w:val="0"/>
          <w:i w:val="0"/>
          <w:strike w:val="0"/>
          <w:noProof w:val="0"/>
          <w:color w:val="000000"/>
          <w:position w:val="0"/>
          <w:sz w:val="18"/>
          <w:u w:val="none"/>
          <w:vertAlign w:val="baseline"/>
        </w:rPr>
        <w:t>.</w:t>
      </w:r>
    </w:p>
  </w:footnote>
  <w:footnote w:id="1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121 </w:t>
      </w:r>
      <w:hyperlink r:id="rId74" w:history="1">
        <w:r>
          <w:rPr>
            <w:rFonts w:ascii="arial" w:eastAsia="arial" w:hAnsi="arial" w:cs="arial"/>
            <w:b w:val="0"/>
            <w:i/>
            <w:strike w:val="0"/>
            <w:noProof w:val="0"/>
            <w:color w:val="0077CC"/>
            <w:position w:val="0"/>
            <w:sz w:val="18"/>
            <w:u w:val="single"/>
            <w:shd w:val="clear" w:color="auto" w:fill="FFFFFF"/>
            <w:vertAlign w:val="baseline"/>
          </w:rPr>
          <w:t>525 U.S. 471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104.04[2][e][ii]</w:t>
        </w:r>
      </w:hyperlink>
      <w:r>
        <w:rPr>
          <w:rFonts w:ascii="arial" w:eastAsia="arial" w:hAnsi="arial" w:cs="arial"/>
          <w:b w:val="0"/>
          <w:i w:val="0"/>
          <w:strike w:val="0"/>
          <w:noProof w:val="0"/>
          <w:color w:val="000000"/>
          <w:position w:val="0"/>
          <w:sz w:val="18"/>
          <w:u w:val="none"/>
          <w:vertAlign w:val="baseline"/>
        </w:rPr>
        <w:t xml:space="preserve">. Even before the Supreme Court decided </w:t>
      </w:r>
      <w:r>
        <w:rPr>
          <w:rFonts w:ascii="arial" w:eastAsia="arial" w:hAnsi="arial" w:cs="arial"/>
          <w:b w:val="0"/>
          <w:i/>
          <w:strike w:val="0"/>
          <w:noProof w:val="0"/>
          <w:color w:val="000000"/>
          <w:position w:val="0"/>
          <w:sz w:val="18"/>
          <w:u w:val="none"/>
          <w:vertAlign w:val="baseline"/>
        </w:rPr>
        <w:t>AADC</w:t>
      </w:r>
      <w:r>
        <w:rPr>
          <w:rFonts w:ascii="arial" w:eastAsia="arial" w:hAnsi="arial" w:cs="arial"/>
          <w:b w:val="0"/>
          <w:i w:val="0"/>
          <w:strike w:val="0"/>
          <w:noProof w:val="0"/>
          <w:color w:val="000000"/>
          <w:position w:val="0"/>
          <w:sz w:val="18"/>
          <w:u w:val="none"/>
          <w:vertAlign w:val="baseline"/>
        </w:rPr>
        <w:t xml:space="preserve">, the Fifth Circuit had held that allegations of mistreatment while one is in detention bear no more than a remote relationship to the Attorney General’s decision to “execute a removal order,” and thus are not barred by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 xml:space="preserve">. </w:t>
      </w:r>
      <w:hyperlink r:id="rId187" w:history="1">
        <w:r>
          <w:rPr>
            <w:rFonts w:ascii="arial" w:eastAsia="arial" w:hAnsi="arial" w:cs="arial"/>
            <w:b w:val="0"/>
            <w:i/>
            <w:strike w:val="0"/>
            <w:noProof w:val="0"/>
            <w:color w:val="0077CC"/>
            <w:position w:val="0"/>
            <w:sz w:val="18"/>
            <w:u w:val="single"/>
            <w:shd w:val="clear" w:color="auto" w:fill="FFFFFF"/>
            <w:vertAlign w:val="baseline"/>
          </w:rPr>
          <w:t>Humphries v. Various Federal U.S. INS Employees, 164 F.3d 936, 944 (5th Cir.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8" w:history="1">
        <w:r>
          <w:rPr>
            <w:rFonts w:ascii="arial" w:eastAsia="arial" w:hAnsi="arial" w:cs="arial"/>
            <w:b w:val="0"/>
            <w:i/>
            <w:strike w:val="0"/>
            <w:noProof w:val="0"/>
            <w:color w:val="0077CC"/>
            <w:position w:val="0"/>
            <w:sz w:val="18"/>
            <w:u w:val="single"/>
            <w:shd w:val="clear" w:color="auto" w:fill="FFFFFF"/>
            <w:vertAlign w:val="baseline"/>
          </w:rPr>
          <w:t>Martinez v. Greene, 28 F. Supp. 2d 1275, 1278–79 (D. Colo. 1998)</w:t>
        </w:r>
      </w:hyperlink>
      <w:r>
        <w:rPr>
          <w:rFonts w:ascii="arial" w:eastAsia="arial" w:hAnsi="arial" w:cs="arial"/>
          <w:b w:val="0"/>
          <w:i w:val="0"/>
          <w:strike w:val="0"/>
          <w:noProof w:val="0"/>
          <w:color w:val="000000"/>
          <w:position w:val="0"/>
          <w:sz w:val="18"/>
          <w:u w:val="none"/>
          <w:vertAlign w:val="baseline"/>
        </w:rPr>
        <w:t xml:space="preserve"> (pre-</w:t>
      </w:r>
      <w:r>
        <w:rPr>
          <w:rFonts w:ascii="arial" w:eastAsia="arial" w:hAnsi="arial" w:cs="arial"/>
          <w:b w:val="0"/>
          <w:i/>
          <w:strike w:val="0"/>
          <w:noProof w:val="0"/>
          <w:color w:val="000000"/>
          <w:position w:val="0"/>
          <w:sz w:val="18"/>
          <w:u w:val="none"/>
          <w:vertAlign w:val="baseline"/>
        </w:rPr>
        <w:t>AADC</w:t>
      </w:r>
      <w:r>
        <w:rPr>
          <w:rFonts w:ascii="arial" w:eastAsia="arial" w:hAnsi="arial" w:cs="arial"/>
          <w:b w:val="0"/>
          <w:i w:val="0"/>
          <w:strike w:val="0"/>
          <w:noProof w:val="0"/>
          <w:color w:val="000000"/>
          <w:position w:val="0"/>
          <w:sz w:val="18"/>
          <w:u w:val="none"/>
          <w:vertAlign w:val="baseline"/>
        </w:rPr>
        <w:t xml:space="preserve">; following “a substantial majority of courts” considering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claims in the nondetention context to conclude that federal courts retain jurisdiction under § 2241 and the Suspension Clause despite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w:t>
      </w:r>
    </w:p>
  </w:footnote>
  <w:footnote w:id="12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122 </w:t>
      </w:r>
      <w:hyperlink r:id="rId182" w:history="1">
        <w:r>
          <w:rPr>
            <w:rFonts w:ascii="arial" w:eastAsia="arial" w:hAnsi="arial" w:cs="arial"/>
            <w:b w:val="0"/>
            <w:i/>
            <w:strike w:val="0"/>
            <w:noProof w:val="0"/>
            <w:color w:val="0077CC"/>
            <w:position w:val="0"/>
            <w:sz w:val="18"/>
            <w:u w:val="single"/>
            <w:shd w:val="clear" w:color="auto" w:fill="FFFFFF"/>
            <w:vertAlign w:val="baseline"/>
          </w:rPr>
          <w:t>Parra v. Perryman</w:t>
        </w:r>
      </w:hyperlink>
      <w:hyperlink r:id="rId182" w:history="1">
        <w:r>
          <w:rPr>
            <w:rFonts w:ascii="arial" w:eastAsia="arial" w:hAnsi="arial" w:cs="arial"/>
            <w:b w:val="0"/>
            <w:i/>
            <w:strike w:val="0"/>
            <w:noProof w:val="0"/>
            <w:color w:val="0077CC"/>
            <w:position w:val="0"/>
            <w:sz w:val="18"/>
            <w:u w:val="single"/>
            <w:shd w:val="clear" w:color="auto" w:fill="FFFFFF"/>
            <w:vertAlign w:val="baseline"/>
          </w:rPr>
          <w:t>, 172 F.3d at 957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9" w:history="1">
        <w:r>
          <w:rPr>
            <w:rFonts w:ascii="arial" w:eastAsia="arial" w:hAnsi="arial" w:cs="arial"/>
            <w:b w:val="0"/>
            <w:i/>
            <w:strike w:val="0"/>
            <w:noProof w:val="0"/>
            <w:color w:val="0077CC"/>
            <w:position w:val="0"/>
            <w:sz w:val="18"/>
            <w:u w:val="single"/>
            <w:shd w:val="clear" w:color="auto" w:fill="FFFFFF"/>
            <w:vertAlign w:val="baseline"/>
          </w:rPr>
          <w:t>Hodel v. Aguirre, 260 F. Supp. 2d 695 (N.D. Ill.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concerning detention while motion to reopen was pending was not precluded by § 242(g)).</w:t>
      </w:r>
    </w:p>
  </w:footnote>
  <w:footnote w:id="1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123 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190" w:history="1">
        <w:r>
          <w:rPr>
            <w:rFonts w:ascii="arial" w:eastAsia="arial" w:hAnsi="arial" w:cs="arial"/>
            <w:b w:val="0"/>
            <w:i/>
            <w:strike w:val="0"/>
            <w:noProof w:val="0"/>
            <w:color w:val="0077CC"/>
            <w:position w:val="0"/>
            <w:sz w:val="18"/>
            <w:u w:val="single"/>
            <w:shd w:val="clear" w:color="auto" w:fill="FFFFFF"/>
            <w:vertAlign w:val="baseline"/>
          </w:rPr>
          <w:t>INA § 241(a)(2)</w:t>
        </w:r>
      </w:hyperlink>
      <w:r>
        <w:rPr>
          <w:rFonts w:ascii="arial" w:eastAsia="arial" w:hAnsi="arial" w:cs="arial"/>
          <w:b w:val="0"/>
          <w:i w:val="0"/>
          <w:strike w:val="0"/>
          <w:noProof w:val="0"/>
          <w:color w:val="000000"/>
          <w:position w:val="0"/>
          <w:sz w:val="18"/>
          <w:u w:val="none"/>
          <w:vertAlign w:val="baseline"/>
        </w:rPr>
        <w:t xml:space="preserve">, </w:t>
      </w:r>
      <w:hyperlink r:id="rId190" w:history="1">
        <w:r>
          <w:rPr>
            <w:rFonts w:ascii="arial" w:eastAsia="arial" w:hAnsi="arial" w:cs="arial"/>
            <w:b w:val="0"/>
            <w:i/>
            <w:strike w:val="0"/>
            <w:noProof w:val="0"/>
            <w:color w:val="0077CC"/>
            <w:position w:val="0"/>
            <w:sz w:val="18"/>
            <w:u w:val="single"/>
            <w:shd w:val="clear" w:color="auto" w:fill="FFFFFF"/>
            <w:vertAlign w:val="baseline"/>
          </w:rPr>
          <w:t>8 U.S.C. § 1231(a)(2)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1" w:history="1">
        <w:r>
          <w:rPr>
            <w:rFonts w:ascii="arial" w:eastAsia="arial" w:hAnsi="arial" w:cs="arial"/>
            <w:b w:val="0"/>
            <w:i/>
            <w:strike w:val="0"/>
            <w:noProof w:val="0"/>
            <w:color w:val="0077CC"/>
            <w:position w:val="0"/>
            <w:sz w:val="18"/>
            <w:u w:val="single"/>
            <w:shd w:val="clear" w:color="auto" w:fill="FFFFFF"/>
            <w:vertAlign w:val="baseline"/>
          </w:rPr>
          <w:t>§ 108.02[2][e]</w:t>
        </w:r>
      </w:hyperlink>
      <w:r>
        <w:rPr>
          <w:rFonts w:ascii="arial" w:eastAsia="arial" w:hAnsi="arial" w:cs="arial"/>
          <w:b w:val="0"/>
          <w:i w:val="0"/>
          <w:strike w:val="0"/>
          <w:noProof w:val="0"/>
          <w:color w:val="000000"/>
          <w:position w:val="0"/>
          <w:sz w:val="18"/>
          <w:u w:val="none"/>
          <w:vertAlign w:val="baseline"/>
        </w:rPr>
        <w:t xml:space="preserve"> (general discussion of post-removal-period detention).</w:t>
      </w:r>
    </w:p>
  </w:footnote>
  <w:footnote w:id="12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124 </w:t>
      </w:r>
      <w:hyperlink r:id="rId192" w:history="1">
        <w:r>
          <w:rPr>
            <w:rFonts w:ascii="arial" w:eastAsia="arial" w:hAnsi="arial" w:cs="arial"/>
            <w:b w:val="0"/>
            <w:i/>
            <w:strike w:val="0"/>
            <w:noProof w:val="0"/>
            <w:color w:val="0077CC"/>
            <w:position w:val="0"/>
            <w:sz w:val="18"/>
            <w:u w:val="single"/>
            <w:shd w:val="clear" w:color="auto" w:fill="FFFFFF"/>
            <w:vertAlign w:val="baseline"/>
          </w:rPr>
          <w:t>Zadvydas v. Davis, 533 U.S. 678 (2001)</w:t>
        </w:r>
      </w:hyperlink>
      <w:r>
        <w:rPr>
          <w:rFonts w:ascii="arial" w:eastAsia="arial" w:hAnsi="arial" w:cs="arial"/>
          <w:b w:val="0"/>
          <w:i w:val="0"/>
          <w:strike w:val="0"/>
          <w:noProof w:val="0"/>
          <w:color w:val="000000"/>
          <w:position w:val="0"/>
          <w:sz w:val="18"/>
          <w:u w:val="none"/>
          <w:vertAlign w:val="baseline"/>
        </w:rPr>
        <w:t xml:space="preserve">; </w:t>
      </w:r>
      <w:hyperlink r:id="rId193" w:history="1">
        <w:r>
          <w:rPr>
            <w:rFonts w:ascii="arial" w:eastAsia="arial" w:hAnsi="arial" w:cs="arial"/>
            <w:b w:val="0"/>
            <w:i/>
            <w:strike w:val="0"/>
            <w:noProof w:val="0"/>
            <w:color w:val="0077CC"/>
            <w:position w:val="0"/>
            <w:sz w:val="18"/>
            <w:u w:val="single"/>
            <w:shd w:val="clear" w:color="auto" w:fill="FFFFFF"/>
            <w:vertAlign w:val="baseline"/>
          </w:rPr>
          <w:t>Ma v. Ashcroft, 257 F.3d 1095 (9th Cir. 2001)</w:t>
        </w:r>
      </w:hyperlink>
      <w:r>
        <w:rPr>
          <w:rFonts w:ascii="arial" w:eastAsia="arial" w:hAnsi="arial" w:cs="arial"/>
          <w:b w:val="0"/>
          <w:i w:val="0"/>
          <w:strike w:val="0"/>
          <w:noProof w:val="0"/>
          <w:color w:val="000000"/>
          <w:position w:val="0"/>
          <w:sz w:val="18"/>
          <w:u w:val="none"/>
          <w:vertAlign w:val="baseline"/>
        </w:rPr>
        <w:t xml:space="preserve">; </w:t>
      </w:r>
      <w:hyperlink r:id="rId194" w:history="1">
        <w:r>
          <w:rPr>
            <w:rFonts w:ascii="arial" w:eastAsia="arial" w:hAnsi="arial" w:cs="arial"/>
            <w:b w:val="0"/>
            <w:i/>
            <w:strike w:val="0"/>
            <w:noProof w:val="0"/>
            <w:color w:val="0077CC"/>
            <w:position w:val="0"/>
            <w:sz w:val="18"/>
            <w:u w:val="single"/>
            <w:shd w:val="clear" w:color="auto" w:fill="FFFFFF"/>
            <w:vertAlign w:val="baseline"/>
          </w:rPr>
          <w:t>Ho v. Greene, 204 F.3d 1045, 1050–51 (10th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overruled in part by</w:t>
      </w:r>
      <w:r>
        <w:rPr>
          <w:rFonts w:ascii="arial" w:eastAsia="arial" w:hAnsi="arial" w:cs="arial"/>
          <w:b w:val="0"/>
          <w:i w:val="0"/>
          <w:strike w:val="0"/>
          <w:noProof w:val="0"/>
          <w:color w:val="000000"/>
          <w:position w:val="0"/>
          <w:sz w:val="18"/>
          <w:u w:val="none"/>
          <w:vertAlign w:val="baseline"/>
        </w:rPr>
        <w:t xml:space="preserve"> </w:t>
      </w:r>
      <w:hyperlink r:id="rId192" w:history="1">
        <w:r>
          <w:rPr>
            <w:rFonts w:ascii="arial" w:eastAsia="arial" w:hAnsi="arial" w:cs="arial"/>
            <w:b w:val="0"/>
            <w:i/>
            <w:strike w:val="0"/>
            <w:noProof w:val="0"/>
            <w:color w:val="0077CC"/>
            <w:position w:val="0"/>
            <w:sz w:val="18"/>
            <w:u w:val="single"/>
            <w:shd w:val="clear" w:color="auto" w:fill="FFFFFF"/>
            <w:vertAlign w:val="baseline"/>
          </w:rPr>
          <w:t>Zadvydas</w:t>
        </w:r>
      </w:hyperlink>
      <w:hyperlink r:id="rId192" w:history="1">
        <w:r>
          <w:rPr>
            <w:rFonts w:ascii="arial" w:eastAsia="arial" w:hAnsi="arial" w:cs="arial"/>
            <w:b w:val="0"/>
            <w:i/>
            <w:strike w:val="0"/>
            <w:noProof w:val="0"/>
            <w:color w:val="0077CC"/>
            <w:position w:val="0"/>
            <w:sz w:val="18"/>
            <w:u w:val="single"/>
            <w:shd w:val="clear" w:color="auto" w:fill="FFFFFF"/>
            <w:vertAlign w:val="baseline"/>
          </w:rPr>
          <w:t>, 533 U.S. at 686</w:t>
        </w:r>
      </w:hyperlink>
      <w:r>
        <w:rPr>
          <w:rFonts w:ascii="arial" w:eastAsia="arial" w:hAnsi="arial" w:cs="arial"/>
          <w:b w:val="0"/>
          <w:i w:val="0"/>
          <w:strike w:val="0"/>
          <w:noProof w:val="0"/>
          <w:color w:val="000000"/>
          <w:position w:val="0"/>
          <w:sz w:val="18"/>
          <w:u w:val="none"/>
          <w:vertAlign w:val="baseline"/>
        </w:rPr>
        <w:t xml:space="preserve">; </w:t>
      </w:r>
      <w:hyperlink r:id="rId195" w:history="1">
        <w:r>
          <w:rPr>
            <w:rFonts w:ascii="arial" w:eastAsia="arial" w:hAnsi="arial" w:cs="arial"/>
            <w:b w:val="0"/>
            <w:i/>
            <w:strike w:val="0"/>
            <w:noProof w:val="0"/>
            <w:color w:val="0077CC"/>
            <w:position w:val="0"/>
            <w:sz w:val="18"/>
            <w:u w:val="single"/>
            <w:shd w:val="clear" w:color="auto" w:fill="FFFFFF"/>
            <w:vertAlign w:val="baseline"/>
          </w:rPr>
          <w:t>Zadvydas v. Underdown, 185 F.3d 279 (5th Cir.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hyperlink r:id="rId192" w:history="1">
        <w:r>
          <w:rPr>
            <w:rFonts w:ascii="arial" w:eastAsia="arial" w:hAnsi="arial" w:cs="arial"/>
            <w:b w:val="0"/>
            <w:i/>
            <w:strike w:val="0"/>
            <w:noProof w:val="0"/>
            <w:color w:val="0077CC"/>
            <w:position w:val="0"/>
            <w:sz w:val="18"/>
            <w:u w:val="single"/>
            <w:shd w:val="clear" w:color="auto" w:fill="FFFFFF"/>
            <w:vertAlign w:val="baseline"/>
          </w:rPr>
          <w:t>Zadvydas v. Davis, 533 U.S. 678 (2001)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Villafuerte v. U.S. INS, 71 F. Supp. 2d 573, 575 (W.D. La. 1999)</w:t>
      </w:r>
      <w:r>
        <w:rPr>
          <w:rFonts w:ascii="arial" w:eastAsia="arial" w:hAnsi="arial" w:cs="arial"/>
          <w:b w:val="0"/>
          <w:i w:val="0"/>
          <w:strike w:val="0"/>
          <w:noProof w:val="0"/>
          <w:color w:val="000000"/>
          <w:position w:val="0"/>
          <w:sz w:val="18"/>
          <w:u w:val="none"/>
          <w:vertAlign w:val="baseline"/>
        </w:rPr>
        <w:t xml:space="preserve">; </w:t>
      </w:r>
      <w:hyperlink r:id="rId196" w:history="1">
        <w:r>
          <w:rPr>
            <w:rFonts w:ascii="arial" w:eastAsia="arial" w:hAnsi="arial" w:cs="arial"/>
            <w:b w:val="0"/>
            <w:i/>
            <w:strike w:val="0"/>
            <w:noProof w:val="0"/>
            <w:color w:val="0077CC"/>
            <w:position w:val="0"/>
            <w:sz w:val="18"/>
            <w:u w:val="single"/>
            <w:shd w:val="clear" w:color="auto" w:fill="FFFFFF"/>
            <w:vertAlign w:val="baseline"/>
          </w:rPr>
          <w:t>Moro v. INS, 58 F. Supp. 2d 854, 859 (N.D. Ill.1999)</w:t>
        </w:r>
      </w:hyperlink>
      <w:r>
        <w:rPr>
          <w:rFonts w:ascii="arial" w:eastAsia="arial" w:hAnsi="arial" w:cs="arial"/>
          <w:b w:val="0"/>
          <w:i w:val="0"/>
          <w:strike w:val="0"/>
          <w:noProof w:val="0"/>
          <w:color w:val="000000"/>
          <w:position w:val="0"/>
          <w:sz w:val="18"/>
          <w:u w:val="none"/>
          <w:vertAlign w:val="baseline"/>
        </w:rPr>
        <w:t xml:space="preserve"> (the petitioner was not challenging the “execution” of his removal order, for he was not seeking to block any effort to put him on a plane or boat and actually physically remove him from the United States; rather he was challenging his continued detention pending the execution of the order); </w:t>
      </w:r>
      <w:hyperlink r:id="rId197" w:history="1">
        <w:r>
          <w:rPr>
            <w:rFonts w:ascii="arial" w:eastAsia="arial" w:hAnsi="arial" w:cs="arial"/>
            <w:b w:val="0"/>
            <w:i/>
            <w:strike w:val="0"/>
            <w:noProof w:val="0"/>
            <w:color w:val="0077CC"/>
            <w:position w:val="0"/>
            <w:sz w:val="18"/>
            <w:u w:val="single"/>
            <w:shd w:val="clear" w:color="auto" w:fill="FFFFFF"/>
            <w:vertAlign w:val="baseline"/>
          </w:rPr>
          <w:t>Hinojosa-Perez v. Eddy, 55 F. Supp. 2d 1001, 1004–05 (D. Ala. 1999)</w:t>
        </w:r>
      </w:hyperlink>
      <w:r>
        <w:rPr>
          <w:rFonts w:ascii="arial" w:eastAsia="arial" w:hAnsi="arial" w:cs="arial"/>
          <w:b w:val="0"/>
          <w:i w:val="0"/>
          <w:strike w:val="0"/>
          <w:noProof w:val="0"/>
          <w:color w:val="000000"/>
          <w:position w:val="0"/>
          <w:sz w:val="18"/>
          <w:u w:val="none"/>
          <w:vertAlign w:val="baseline"/>
        </w:rPr>
        <w:t xml:space="preserve">; </w:t>
      </w:r>
      <w:hyperlink r:id="rId198" w:history="1">
        <w:r>
          <w:rPr>
            <w:rFonts w:ascii="arial" w:eastAsia="arial" w:hAnsi="arial" w:cs="arial"/>
            <w:b w:val="0"/>
            <w:i/>
            <w:strike w:val="0"/>
            <w:noProof w:val="0"/>
            <w:color w:val="0077CC"/>
            <w:position w:val="0"/>
            <w:sz w:val="18"/>
            <w:u w:val="single"/>
            <w:shd w:val="clear" w:color="auto" w:fill="FFFFFF"/>
            <w:vertAlign w:val="baseline"/>
          </w:rPr>
          <w:t>Hermanowski v. Farquharson, 39 F. Supp. 2d 148, 152–53 (D.R.I. 1999)</w:t>
        </w:r>
      </w:hyperlink>
      <w:r>
        <w:rPr>
          <w:rFonts w:ascii="arial" w:eastAsia="arial" w:hAnsi="arial" w:cs="arial"/>
          <w:b w:val="0"/>
          <w:i w:val="0"/>
          <w:strike w:val="0"/>
          <w:noProof w:val="0"/>
          <w:color w:val="000000"/>
          <w:position w:val="0"/>
          <w:sz w:val="18"/>
          <w:u w:val="none"/>
          <w:vertAlign w:val="baseline"/>
        </w:rPr>
        <w:t xml:space="preserve"> (collecting cases holding that neither the AEDPA nor the IIRAIRA deprived federal courts of § 2241 jurisdiction over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petitions of persons ordered excluded or deported, and finding jurisdiction under § 2241 to consider a due process challenge to the petitioner’s indefinite detention).</w:t>
      </w:r>
    </w:p>
  </w:footnote>
  <w:footnote w:id="1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125 </w:t>
      </w:r>
      <w:hyperlink r:id="rId192" w:history="1">
        <w:r>
          <w:rPr>
            <w:rFonts w:ascii="arial" w:eastAsia="arial" w:hAnsi="arial" w:cs="arial"/>
            <w:b w:val="0"/>
            <w:i/>
            <w:strike w:val="0"/>
            <w:noProof w:val="0"/>
            <w:color w:val="0077CC"/>
            <w:position w:val="0"/>
            <w:sz w:val="18"/>
            <w:u w:val="single"/>
            <w:shd w:val="clear" w:color="auto" w:fill="FFFFFF"/>
            <w:vertAlign w:val="baseline"/>
          </w:rPr>
          <w:t>Zadvydas v. Davis, 533 U.S. 678, 688 (2001)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99" w:history="1">
        <w:r>
          <w:rPr>
            <w:rFonts w:ascii="arial" w:eastAsia="arial" w:hAnsi="arial" w:cs="arial"/>
            <w:b w:val="0"/>
            <w:i/>
            <w:strike w:val="0"/>
            <w:noProof w:val="0"/>
            <w:color w:val="0077CC"/>
            <w:position w:val="0"/>
            <w:sz w:val="18"/>
            <w:u w:val="single"/>
            <w:shd w:val="clear" w:color="auto" w:fill="FFFFFF"/>
            <w:vertAlign w:val="baseline"/>
          </w:rPr>
          <w:t>Shefqet v. Ashcroft, 2003 U.S. Dist. LEXIS 7075 (N.D. Ill. April 28, 2003)</w:t>
        </w:r>
      </w:hyperlink>
      <w:r>
        <w:rPr>
          <w:rFonts w:ascii="arial" w:eastAsia="arial" w:hAnsi="arial" w:cs="arial"/>
          <w:b w:val="0"/>
          <w:i w:val="0"/>
          <w:strike w:val="0"/>
          <w:noProof w:val="0"/>
          <w:color w:val="000000"/>
          <w:position w:val="0"/>
          <w:sz w:val="18"/>
          <w:u w:val="none"/>
          <w:vertAlign w:val="baseline"/>
        </w:rPr>
        <w:t xml:space="preserve"> (applying </w:t>
      </w:r>
      <w:r>
        <w:rPr>
          <w:rFonts w:ascii="arial" w:eastAsia="arial" w:hAnsi="arial" w:cs="arial"/>
          <w:b w:val="0"/>
          <w:i/>
          <w:strike w:val="0"/>
          <w:noProof w:val="0"/>
          <w:color w:val="000000"/>
          <w:position w:val="0"/>
          <w:sz w:val="18"/>
          <w:u w:val="none"/>
          <w:vertAlign w:val="baseline"/>
        </w:rPr>
        <w:t>Zadvydas</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granted after ninety-day removal period);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00" w:history="1">
        <w:r>
          <w:rPr>
            <w:rFonts w:ascii="arial" w:eastAsia="arial" w:hAnsi="arial" w:cs="arial"/>
            <w:b w:val="0"/>
            <w:i/>
            <w:strike w:val="0"/>
            <w:noProof w:val="0"/>
            <w:color w:val="0077CC"/>
            <w:position w:val="0"/>
            <w:sz w:val="18"/>
            <w:u w:val="single"/>
            <w:shd w:val="clear" w:color="auto" w:fill="FFFFFF"/>
            <w:vertAlign w:val="baseline"/>
          </w:rPr>
          <w:t>De La Teja v. United States, 321 F.3d 1357 (11th Cir. 2003)</w:t>
        </w:r>
      </w:hyperlink>
      <w:r>
        <w:rPr>
          <w:rFonts w:ascii="arial" w:eastAsia="arial" w:hAnsi="arial" w:cs="arial"/>
          <w:b w:val="0"/>
          <w:i w:val="0"/>
          <w:strike w:val="0"/>
          <w:noProof w:val="0"/>
          <w:color w:val="000000"/>
          <w:position w:val="0"/>
          <w:sz w:val="18"/>
          <w:u w:val="none"/>
          <w:vertAlign w:val="baseline"/>
        </w:rPr>
        <w:t xml:space="preserve"> (challenge to pre-removal-order detention was moot when removal order became final; challenge to post-removal-order detention could not be brought until removal period expired).</w:t>
      </w:r>
    </w:p>
  </w:footnote>
  <w:footnote w:id="12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126 </w:t>
      </w:r>
      <w:hyperlink r:id="rId192" w:history="1">
        <w:r>
          <w:rPr>
            <w:rFonts w:ascii="arial" w:eastAsia="arial" w:hAnsi="arial" w:cs="arial"/>
            <w:b w:val="0"/>
            <w:i/>
            <w:strike w:val="0"/>
            <w:noProof w:val="0"/>
            <w:color w:val="0077CC"/>
            <w:position w:val="0"/>
            <w:sz w:val="18"/>
            <w:u w:val="single"/>
            <w:shd w:val="clear" w:color="auto" w:fill="FFFFFF"/>
            <w:vertAlign w:val="baseline"/>
          </w:rPr>
          <w:t>Zadvydas</w:t>
        </w:r>
      </w:hyperlink>
      <w:hyperlink r:id="rId192" w:history="1">
        <w:r>
          <w:rPr>
            <w:rFonts w:ascii="arial" w:eastAsia="arial" w:hAnsi="arial" w:cs="arial"/>
            <w:b w:val="0"/>
            <w:i/>
            <w:strike w:val="0"/>
            <w:noProof w:val="0"/>
            <w:color w:val="0077CC"/>
            <w:position w:val="0"/>
            <w:sz w:val="18"/>
            <w:u w:val="single"/>
            <w:shd w:val="clear" w:color="auto" w:fill="FFFFFF"/>
            <w:vertAlign w:val="baseline"/>
          </w:rPr>
          <w:t>, 533 U.S. at 699–701</w:t>
        </w:r>
      </w:hyperlink>
      <w:r>
        <w:rPr>
          <w:rFonts w:ascii="arial" w:eastAsia="arial" w:hAnsi="arial" w:cs="arial"/>
          <w:b w:val="0"/>
          <w:i w:val="0"/>
          <w:strike w:val="0"/>
          <w:noProof w:val="0"/>
          <w:color w:val="000000"/>
          <w:position w:val="0"/>
          <w:sz w:val="18"/>
          <w:u w:val="none"/>
          <w:vertAlign w:val="baseline"/>
        </w:rPr>
        <w:t xml:space="preserve"> (“[I]f removal is not reasonably foreseeable, the court should hold continued detention unreasonable and no longer authorized by statute … . And if removal is reasonably foreseeable, 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court should consider the risk of the alien’s committing further crimes as a factor potentially justifying confinement within that reasonable removal period.”).</w:t>
      </w:r>
    </w:p>
  </w:footnote>
  <w:footnote w:id="1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127 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01" w:history="1">
        <w:r>
          <w:rPr>
            <w:rFonts w:ascii="arial" w:eastAsia="arial" w:hAnsi="arial" w:cs="arial"/>
            <w:b w:val="0"/>
            <w:i/>
            <w:strike w:val="0"/>
            <w:noProof w:val="0"/>
            <w:color w:val="0077CC"/>
            <w:position w:val="0"/>
            <w:sz w:val="18"/>
            <w:u w:val="single"/>
            <w:shd w:val="clear" w:color="auto" w:fill="FFFFFF"/>
            <w:vertAlign w:val="baseline"/>
          </w:rPr>
          <w:t>Nadarajah v. Gonzales, 443 F.3d 1069 (9th Cir. 2006)</w:t>
        </w:r>
      </w:hyperlink>
      <w:r>
        <w:rPr>
          <w:rFonts w:ascii="arial" w:eastAsia="arial" w:hAnsi="arial" w:cs="arial"/>
          <w:b w:val="0"/>
          <w:i w:val="0"/>
          <w:strike w:val="0"/>
          <w:noProof w:val="0"/>
          <w:color w:val="000000"/>
          <w:position w:val="0"/>
          <w:sz w:val="18"/>
          <w:u w:val="none"/>
          <w:vertAlign w:val="baseline"/>
        </w:rPr>
        <w:t xml:space="preserve"> (alien held five years while government appealed grants of asylum, withholding, and CAT relief was ordered released; court held that government abused discretion in denying parole for reasons that were not facially legitimate and bona fide); </w:t>
      </w:r>
      <w:hyperlink r:id="rId202" w:history="1">
        <w:r>
          <w:rPr>
            <w:rFonts w:ascii="arial" w:eastAsia="arial" w:hAnsi="arial" w:cs="arial"/>
            <w:b w:val="0"/>
            <w:i/>
            <w:strike w:val="0"/>
            <w:noProof w:val="0"/>
            <w:color w:val="0077CC"/>
            <w:position w:val="0"/>
            <w:sz w:val="18"/>
            <w:u w:val="single"/>
            <w:shd w:val="clear" w:color="auto" w:fill="FFFFFF"/>
            <w:vertAlign w:val="baseline"/>
          </w:rPr>
          <w:t>Hoang Minh Ly v. Hansen, 351 F.3d 263 (6th Cir. 2003)</w:t>
        </w:r>
      </w:hyperlink>
      <w:r>
        <w:rPr>
          <w:rFonts w:ascii="arial" w:eastAsia="arial" w:hAnsi="arial" w:cs="arial"/>
          <w:b w:val="0"/>
          <w:i w:val="0"/>
          <w:strike w:val="0"/>
          <w:noProof w:val="0"/>
          <w:color w:val="000000"/>
          <w:position w:val="0"/>
          <w:sz w:val="18"/>
          <w:u w:val="none"/>
          <w:vertAlign w:val="baseline"/>
        </w:rPr>
        <w:t xml:space="preserve">; </w:t>
      </w:r>
      <w:hyperlink r:id="rId203" w:history="1">
        <w:r>
          <w:rPr>
            <w:rFonts w:ascii="arial" w:eastAsia="arial" w:hAnsi="arial" w:cs="arial"/>
            <w:b w:val="0"/>
            <w:i/>
            <w:strike w:val="0"/>
            <w:noProof w:val="0"/>
            <w:color w:val="0077CC"/>
            <w:position w:val="0"/>
            <w:sz w:val="18"/>
            <w:u w:val="single"/>
            <w:shd w:val="clear" w:color="auto" w:fill="FFFFFF"/>
            <w:vertAlign w:val="baseline"/>
          </w:rPr>
          <w:t>Kacanic v. Elwood, 2002 U.S. Dist. LEXIS 21848 (E.D. Pa. Nov. 8, 2002)</w:t>
        </w:r>
      </w:hyperlink>
      <w:r>
        <w:rPr>
          <w:rFonts w:ascii="arial" w:eastAsia="arial" w:hAnsi="arial" w:cs="arial"/>
          <w:b w:val="0"/>
          <w:i w:val="0"/>
          <w:strike w:val="0"/>
          <w:noProof w:val="0"/>
          <w:color w:val="000000"/>
          <w:position w:val="0"/>
          <w:sz w:val="18"/>
          <w:u w:val="none"/>
          <w:vertAlign w:val="baseline"/>
        </w:rPr>
        <w:t xml:space="preserve">; </w:t>
      </w:r>
      <w:hyperlink r:id="rId204" w:history="1">
        <w:r>
          <w:rPr>
            <w:rFonts w:ascii="arial" w:eastAsia="arial" w:hAnsi="arial" w:cs="arial"/>
            <w:b w:val="0"/>
            <w:i/>
            <w:strike w:val="0"/>
            <w:noProof w:val="0"/>
            <w:color w:val="0077CC"/>
            <w:position w:val="0"/>
            <w:sz w:val="18"/>
            <w:u w:val="single"/>
            <w:shd w:val="clear" w:color="auto" w:fill="FFFFFF"/>
            <w:vertAlign w:val="baseline"/>
          </w:rPr>
          <w:t>Seretse-Khama v. Ashcroft, 215 F. Supp. 2d 37 (D.D.C. 2002)</w:t>
        </w:r>
      </w:hyperlink>
      <w:r>
        <w:rPr>
          <w:rFonts w:ascii="arial" w:eastAsia="arial" w:hAnsi="arial" w:cs="arial"/>
          <w:b w:val="0"/>
          <w:i w:val="0"/>
          <w:strike w:val="0"/>
          <w:noProof w:val="0"/>
          <w:color w:val="000000"/>
          <w:position w:val="0"/>
          <w:sz w:val="18"/>
          <w:u w:val="none"/>
          <w:vertAlign w:val="baseline"/>
        </w:rPr>
        <w:t xml:space="preserve">; </w:t>
      </w:r>
      <w:hyperlink r:id="rId205" w:history="1">
        <w:r>
          <w:rPr>
            <w:rFonts w:ascii="arial" w:eastAsia="arial" w:hAnsi="arial" w:cs="arial"/>
            <w:b w:val="0"/>
            <w:i/>
            <w:strike w:val="0"/>
            <w:noProof w:val="0"/>
            <w:color w:val="0077CC"/>
            <w:position w:val="0"/>
            <w:sz w:val="18"/>
            <w:u w:val="single"/>
            <w:shd w:val="clear" w:color="auto" w:fill="FFFFFF"/>
            <w:vertAlign w:val="baseline"/>
          </w:rPr>
          <w:t>Okwilagwe v. INS, 2002 U.S. Dist. LEXIS 3596 (N.D. Tex. Mar. 2, 2002)</w:t>
        </w:r>
      </w:hyperlink>
      <w:r>
        <w:rPr>
          <w:rFonts w:ascii="arial" w:eastAsia="arial" w:hAnsi="arial" w:cs="arial"/>
          <w:b w:val="0"/>
          <w:i w:val="0"/>
          <w:strike w:val="0"/>
          <w:noProof w:val="0"/>
          <w:color w:val="000000"/>
          <w:position w:val="0"/>
          <w:sz w:val="18"/>
          <w:u w:val="none"/>
          <w:vertAlign w:val="baseline"/>
        </w:rPr>
        <w:t>.</w:t>
      </w:r>
    </w:p>
  </w:footnote>
  <w:footnote w:id="1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128 </w:t>
      </w:r>
      <w:r>
        <w:rPr>
          <w:rFonts w:ascii="arial" w:eastAsia="arial" w:hAnsi="arial" w:cs="arial"/>
          <w:b w:val="0"/>
          <w:i w:val="0"/>
          <w:strike w:val="0"/>
          <w:noProof w:val="0"/>
          <w:color w:val="000000"/>
          <w:position w:val="0"/>
          <w:sz w:val="18"/>
          <w:u w:val="none"/>
          <w:vertAlign w:val="baseline"/>
        </w:rPr>
        <w:t xml:space="preserve">Before </w:t>
      </w:r>
      <w:hyperlink r:id="rId206" w:history="1">
        <w:r>
          <w:rPr>
            <w:rFonts w:ascii="arial" w:eastAsia="arial" w:hAnsi="arial" w:cs="arial"/>
            <w:b w:val="0"/>
            <w:i/>
            <w:strike w:val="0"/>
            <w:noProof w:val="0"/>
            <w:color w:val="0077CC"/>
            <w:position w:val="0"/>
            <w:sz w:val="18"/>
            <w:u w:val="single"/>
            <w:shd w:val="clear" w:color="auto" w:fill="FFFFFF"/>
            <w:vertAlign w:val="baseline"/>
          </w:rPr>
          <w:t>Clark v. Martinez</w:t>
        </w:r>
      </w:hyperlink>
      <w:hyperlink r:id="rId206" w:history="1">
        <w:r>
          <w:rPr>
            <w:rFonts w:ascii="arial" w:eastAsia="arial" w:hAnsi="arial" w:cs="arial"/>
            <w:b w:val="0"/>
            <w:i/>
            <w:strike w:val="0"/>
            <w:noProof w:val="0"/>
            <w:color w:val="0077CC"/>
            <w:position w:val="0"/>
            <w:sz w:val="18"/>
            <w:u w:val="single"/>
            <w:shd w:val="clear" w:color="auto" w:fill="FFFFFF"/>
            <w:vertAlign w:val="baseline"/>
          </w:rPr>
          <w:t>, 543 U.S. 371 (2005)</w:t>
        </w:r>
      </w:hyperlink>
      <w:r>
        <w:rPr>
          <w:rFonts w:ascii="arial" w:eastAsia="arial" w:hAnsi="arial" w:cs="arial"/>
          <w:b w:val="0"/>
          <w:i w:val="0"/>
          <w:strike w:val="0"/>
          <w:noProof w:val="0"/>
          <w:color w:val="000000"/>
          <w:position w:val="0"/>
          <w:sz w:val="18"/>
          <w:u w:val="none"/>
          <w:vertAlign w:val="baseline"/>
        </w:rPr>
        <w:t xml:space="preserve">, settled the issue, a circuit split existed regarding whether indefinite detention of inadmissible noncitizens was constitutionally permissible. </w:t>
      </w:r>
      <w:hyperlink r:id="rId206" w:history="1">
        <w:r>
          <w:rPr>
            <w:rFonts w:ascii="arial" w:eastAsia="arial" w:hAnsi="arial" w:cs="arial"/>
            <w:b w:val="0"/>
            <w:i/>
            <w:strike w:val="0"/>
            <w:noProof w:val="0"/>
            <w:color w:val="0077CC"/>
            <w:position w:val="0"/>
            <w:sz w:val="18"/>
            <w:u w:val="single"/>
            <w:shd w:val="clear" w:color="auto" w:fill="FFFFFF"/>
            <w:vertAlign w:val="baseline"/>
          </w:rPr>
          <w:t>Clark</w:t>
        </w:r>
      </w:hyperlink>
      <w:hyperlink r:id="rId206" w:history="1">
        <w:r>
          <w:rPr>
            <w:rFonts w:ascii="arial" w:eastAsia="arial" w:hAnsi="arial" w:cs="arial"/>
            <w:b w:val="0"/>
            <w:i/>
            <w:strike w:val="0"/>
            <w:noProof w:val="0"/>
            <w:color w:val="0077CC"/>
            <w:position w:val="0"/>
            <w:sz w:val="18"/>
            <w:u w:val="single"/>
            <w:shd w:val="clear" w:color="auto" w:fill="FFFFFF"/>
            <w:vertAlign w:val="baseline"/>
          </w:rPr>
          <w:t>, 543 U.S. at 376–77</w:t>
        </w:r>
      </w:hyperlink>
      <w:r>
        <w:rPr>
          <w:rFonts w:ascii="arial" w:eastAsia="arial" w:hAnsi="arial" w:cs="arial"/>
          <w:b w:val="0"/>
          <w:i w:val="0"/>
          <w:strike w:val="0"/>
          <w:noProof w:val="0"/>
          <w:color w:val="000000"/>
          <w:position w:val="0"/>
          <w:sz w:val="18"/>
          <w:u w:val="none"/>
          <w:vertAlign w:val="baseline"/>
        </w:rPr>
        <w:t xml:space="preserve"> (observing that Court granted certiorari in both Ninth Circuit case granting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and Eleventh Circuit case denying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However, all courts that considered the issue recognized their jurisdiction to consider such a challenge brought by an inadmissible noncitizen by means of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petition. For a complete discussion of post-removal-period indefinite detention,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86" w:history="1">
        <w:r>
          <w:rPr>
            <w:rFonts w:ascii="arial" w:eastAsia="arial" w:hAnsi="arial" w:cs="arial"/>
            <w:b w:val="0"/>
            <w:i/>
            <w:strike w:val="0"/>
            <w:noProof w:val="0"/>
            <w:color w:val="0077CC"/>
            <w:position w:val="0"/>
            <w:sz w:val="18"/>
            <w:u w:val="single"/>
            <w:shd w:val="clear" w:color="auto" w:fill="FFFFFF"/>
            <w:vertAlign w:val="baseline"/>
          </w:rPr>
          <w:t>§ 108.05</w:t>
        </w:r>
      </w:hyperlink>
      <w:r>
        <w:rPr>
          <w:rFonts w:ascii="arial" w:eastAsia="arial" w:hAnsi="arial" w:cs="arial"/>
          <w:b w:val="0"/>
          <w:i w:val="0"/>
          <w:strike w:val="0"/>
          <w:noProof w:val="0"/>
          <w:color w:val="000000"/>
          <w:position w:val="0"/>
          <w:sz w:val="18"/>
          <w:u w:val="none"/>
          <w:vertAlign w:val="baseline"/>
        </w:rPr>
        <w:t>.</w:t>
      </w:r>
    </w:p>
  </w:footnote>
  <w:footnote w:id="12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129 </w:t>
      </w:r>
      <w:hyperlink r:id="rId160" w:history="1">
        <w:r>
          <w:rPr>
            <w:rFonts w:ascii="arial" w:eastAsia="arial" w:hAnsi="arial" w:cs="arial"/>
            <w:b w:val="0"/>
            <w:i/>
            <w:strike w:val="0"/>
            <w:noProof w:val="0"/>
            <w:color w:val="0077CC"/>
            <w:position w:val="0"/>
            <w:sz w:val="18"/>
            <w:u w:val="single"/>
            <w:shd w:val="clear" w:color="auto" w:fill="FFFFFF"/>
            <w:vertAlign w:val="baseline"/>
          </w:rPr>
          <w:t>553 U.S. 723 (2008)</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Caprice L. Roberts, </w:t>
      </w:r>
      <w:r>
        <w:rPr>
          <w:rFonts w:ascii="arial" w:eastAsia="arial" w:hAnsi="arial" w:cs="arial"/>
          <w:b w:val="0"/>
          <w:i/>
          <w:strike w:val="0"/>
          <w:noProof w:val="0"/>
          <w:color w:val="000000"/>
          <w:position w:val="0"/>
          <w:sz w:val="18"/>
          <w:u w:val="none"/>
          <w:vertAlign w:val="baseline"/>
        </w:rPr>
        <w:t xml:space="preserve">Rights, Remedies, and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Corpus—The Uighurs, Legally Free While Actually Imprisoned.</w:t>
      </w:r>
      <w:r>
        <w:rPr>
          <w:rFonts w:ascii="arial" w:eastAsia="arial" w:hAnsi="arial" w:cs="arial"/>
          <w:b w:val="0"/>
          <w:i w:val="0"/>
          <w:strike w:val="0"/>
          <w:noProof w:val="0"/>
          <w:color w:val="000000"/>
          <w:position w:val="0"/>
          <w:sz w:val="18"/>
          <w:u w:val="none"/>
          <w:vertAlign w:val="baseline"/>
        </w:rPr>
        <w:t xml:space="preserve"> </w:t>
      </w:r>
      <w:hyperlink r:id="rId207" w:history="1">
        <w:r>
          <w:rPr>
            <w:rFonts w:ascii="arial" w:eastAsia="arial" w:hAnsi="arial" w:cs="arial"/>
            <w:b w:val="0"/>
            <w:i/>
            <w:strike w:val="0"/>
            <w:noProof w:val="0"/>
            <w:color w:val="0077CC"/>
            <w:position w:val="0"/>
            <w:sz w:val="18"/>
            <w:u w:val="single"/>
            <w:shd w:val="clear" w:color="auto" w:fill="FFFFFF"/>
            <w:vertAlign w:val="baseline"/>
          </w:rPr>
          <w:t>24 Geo. Immigr. L.J. 2, 9 (2009)</w:t>
        </w:r>
      </w:hyperlink>
      <w:r>
        <w:rPr>
          <w:rFonts w:ascii="arial" w:eastAsia="arial" w:hAnsi="arial" w:cs="arial"/>
          <w:b w:val="0"/>
          <w:i w:val="0"/>
          <w:strike w:val="0"/>
          <w:noProof w:val="0"/>
          <w:color w:val="000000"/>
          <w:position w:val="0"/>
          <w:sz w:val="18"/>
          <w:u w:val="none"/>
          <w:vertAlign w:val="baseline"/>
        </w:rPr>
        <w:t xml:space="preserve"> (“Detainee litigation represents a complex, controversial component of American jurisprudence. </w:t>
      </w:r>
      <w:r>
        <w:rPr>
          <w:rFonts w:ascii="arial" w:eastAsia="arial" w:hAnsi="arial" w:cs="arial"/>
          <w:b w:val="0"/>
          <w:i/>
          <w:strike w:val="0"/>
          <w:noProof w:val="0"/>
          <w:color w:val="000000"/>
          <w:position w:val="0"/>
          <w:sz w:val="18"/>
          <w:u w:val="none"/>
          <w:vertAlign w:val="baseline"/>
        </w:rPr>
        <w:t>Boumediene v. Bush</w:t>
      </w:r>
      <w:r>
        <w:rPr>
          <w:rFonts w:ascii="arial" w:eastAsia="arial" w:hAnsi="arial" w:cs="arial"/>
          <w:b w:val="0"/>
          <w:i w:val="0"/>
          <w:strike w:val="0"/>
          <w:noProof w:val="0"/>
          <w:color w:val="000000"/>
          <w:position w:val="0"/>
          <w:sz w:val="18"/>
          <w:u w:val="none"/>
          <w:vertAlign w:val="baseline"/>
        </w:rPr>
        <w:t xml:space="preserve"> signifies a pivotal turning point for detainees at Guantanamo. … It possesses meaningful import for detainees and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law and thus merits at least guarded optimism for judicial review of challenges to unlawful detention.” (footnote omitted));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08" w:history="1">
        <w:r>
          <w:rPr>
            <w:rFonts w:ascii="arial" w:eastAsia="arial" w:hAnsi="arial" w:cs="arial"/>
            <w:b w:val="0"/>
            <w:i/>
            <w:strike w:val="0"/>
            <w:noProof w:val="0"/>
            <w:color w:val="0077CC"/>
            <w:position w:val="0"/>
            <w:sz w:val="18"/>
            <w:u w:val="single"/>
            <w:shd w:val="clear" w:color="auto" w:fill="FFFFFF"/>
            <w:vertAlign w:val="baseline"/>
          </w:rPr>
          <w:t>Munaf v. Geren, 553 U.S. 674 (2008)</w:t>
        </w:r>
      </w:hyperlink>
      <w:r>
        <w:rPr>
          <w:rFonts w:ascii="arial" w:eastAsia="arial" w:hAnsi="arial" w:cs="arial"/>
          <w:b w:val="0"/>
          <w:i w:val="0"/>
          <w:strike w:val="0"/>
          <w:noProof w:val="0"/>
          <w:color w:val="000000"/>
          <w:position w:val="0"/>
          <w:sz w:val="18"/>
          <w:u w:val="none"/>
          <w:vertAlign w:val="baseline"/>
        </w:rPr>
        <w:t xml:space="preserve"> (the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statute extends to U.S. citizens held overseas by U.S. forces operating subject to a U.S. chain of command, even when those forces are acting as part of a multinational coalition).</w:t>
      </w:r>
    </w:p>
  </w:footnote>
  <w:footnote w:id="1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130 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INA § 236A</w:t>
        </w:r>
      </w:hyperlink>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8 U.S.C. § 1226a</w:t>
        </w:r>
      </w:hyperlink>
      <w:r>
        <w:rPr>
          <w:rFonts w:ascii="arial" w:eastAsia="arial" w:hAnsi="arial" w:cs="arial"/>
          <w:b w:val="0"/>
          <w:i w:val="0"/>
          <w:strike w:val="0"/>
          <w:noProof w:val="0"/>
          <w:color w:val="000000"/>
          <w:position w:val="0"/>
          <w:sz w:val="18"/>
          <w:u w:val="none"/>
          <w:vertAlign w:val="baseline"/>
        </w:rPr>
        <w:t>.</w:t>
      </w:r>
    </w:p>
  </w:footnote>
  <w:footnote w:id="13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131 </w:t>
      </w:r>
      <w:hyperlink r:id="rId209" w:history="1">
        <w:r>
          <w:rPr>
            <w:rFonts w:ascii="arial" w:eastAsia="arial" w:hAnsi="arial" w:cs="arial"/>
            <w:b w:val="0"/>
            <w:i/>
            <w:strike w:val="0"/>
            <w:noProof w:val="0"/>
            <w:color w:val="0077CC"/>
            <w:position w:val="0"/>
            <w:sz w:val="18"/>
            <w:u w:val="single"/>
            <w:shd w:val="clear" w:color="auto" w:fill="FFFFFF"/>
            <w:vertAlign w:val="baseline"/>
          </w:rPr>
          <w:t>INA § 236A(b)(1)</w:t>
        </w:r>
      </w:hyperlink>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8 U.S.C. 1226a(b)(1)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70" w:history="1">
        <w:r>
          <w:rPr>
            <w:rFonts w:ascii="arial" w:eastAsia="arial" w:hAnsi="arial" w:cs="arial"/>
            <w:b w:val="0"/>
            <w:i/>
            <w:strike w:val="0"/>
            <w:noProof w:val="0"/>
            <w:color w:val="0077CC"/>
            <w:position w:val="0"/>
            <w:sz w:val="18"/>
            <w:u w:val="single"/>
            <w:shd w:val="clear" w:color="auto" w:fill="FFFFFF"/>
            <w:vertAlign w:val="baseline"/>
          </w:rPr>
          <w:t>Kiareldeen v. Reno, 71 F. Supp. 2d 402, 406–07 (D.N.J.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retained, rejecting government’s argument that </w:t>
      </w:r>
      <w:hyperlink r:id="rId71" w:history="1">
        <w:r>
          <w:rPr>
            <w:rFonts w:ascii="arial" w:eastAsia="arial" w:hAnsi="arial" w:cs="arial"/>
            <w:b w:val="0"/>
            <w:i/>
            <w:strike w:val="0"/>
            <w:noProof w:val="0"/>
            <w:color w:val="0077CC"/>
            <w:position w:val="0"/>
            <w:sz w:val="18"/>
            <w:u w:val="single"/>
            <w:shd w:val="clear" w:color="auto" w:fill="FFFFFF"/>
            <w:vertAlign w:val="baseline"/>
          </w:rPr>
          <w:t>INA § 242(b)(9)</w:t>
        </w:r>
      </w:hyperlink>
      <w:r>
        <w:rPr>
          <w:rFonts w:ascii="arial" w:eastAsia="arial" w:hAnsi="arial" w:cs="arial"/>
          <w:b w:val="0"/>
          <w:i w:val="0"/>
          <w:strike w:val="0"/>
          <w:noProof w:val="0"/>
          <w:color w:val="000000"/>
          <w:position w:val="0"/>
          <w:sz w:val="18"/>
          <w:u w:val="none"/>
          <w:vertAlign w:val="baseline"/>
        </w:rPr>
        <w:t xml:space="preserve">, regarding consolidation of questions for review, precluded review; petitioner released from detention based on due process violations concerning government’s use of secret evidence and hearsay evidence) (adopting </w:t>
      </w:r>
      <w:hyperlink r:id="rId137" w:history="1">
        <w:r>
          <w:rPr>
            <w:rFonts w:ascii="arial" w:eastAsia="arial" w:hAnsi="arial" w:cs="arial"/>
            <w:b w:val="0"/>
            <w:i/>
            <w:strike w:val="0"/>
            <w:noProof w:val="0"/>
            <w:color w:val="0077CC"/>
            <w:position w:val="0"/>
            <w:sz w:val="18"/>
            <w:u w:val="single"/>
            <w:shd w:val="clear" w:color="auto" w:fill="FFFFFF"/>
            <w:vertAlign w:val="baseline"/>
          </w:rPr>
          <w:t>Sandoval v. Reno, 166 F.3d 225 (3d Cir. 1999)</w:t>
        </w:r>
      </w:hyperlink>
      <w:r>
        <w:rPr>
          <w:rFonts w:ascii="arial" w:eastAsia="arial" w:hAnsi="arial" w:cs="arial"/>
          <w:b w:val="0"/>
          <w:i w:val="0"/>
          <w:strike w:val="0"/>
          <w:noProof w:val="0"/>
          <w:color w:val="000000"/>
          <w:position w:val="0"/>
          <w:sz w:val="18"/>
          <w:u w:val="none"/>
          <w:vertAlign w:val="baseline"/>
        </w:rPr>
        <w:t xml:space="preserve"> (statutory and constitutional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survive AEDPA and IIRAIRA bars), and </w:t>
      </w:r>
      <w:hyperlink r:id="rId210" w:history="1">
        <w:r>
          <w:rPr>
            <w:rFonts w:ascii="arial" w:eastAsia="arial" w:hAnsi="arial" w:cs="arial"/>
            <w:b w:val="0"/>
            <w:i/>
            <w:strike w:val="0"/>
            <w:noProof w:val="0"/>
            <w:color w:val="0077CC"/>
            <w:position w:val="0"/>
            <w:sz w:val="18"/>
            <w:u w:val="single"/>
            <w:shd w:val="clear" w:color="auto" w:fill="FFFFFF"/>
            <w:vertAlign w:val="baseline"/>
          </w:rPr>
          <w:t>Catney v. INS, 178 F.3d 190 (3d Cir. 1999)</w:t>
        </w:r>
      </w:hyperlink>
      <w:r>
        <w:rPr>
          <w:rFonts w:ascii="arial" w:eastAsia="arial" w:hAnsi="arial" w:cs="arial"/>
          <w:b w:val="0"/>
          <w:i w:val="0"/>
          <w:strike w:val="0"/>
          <w:noProof w:val="0"/>
          <w:color w:val="000000"/>
          <w:position w:val="0"/>
          <w:sz w:val="18"/>
          <w:u w:val="none"/>
          <w:vertAlign w:val="baseline"/>
        </w:rPr>
        <w:t xml:space="preserve"> (after </w:t>
      </w:r>
      <w:r>
        <w:rPr>
          <w:rFonts w:ascii="arial" w:eastAsia="arial" w:hAnsi="arial" w:cs="arial"/>
          <w:b w:val="0"/>
          <w:i/>
          <w:strike w:val="0"/>
          <w:noProof w:val="0"/>
          <w:color w:val="000000"/>
          <w:position w:val="0"/>
          <w:sz w:val="18"/>
          <w:u w:val="none"/>
          <w:vertAlign w:val="baseline"/>
        </w:rPr>
        <w:t>AADC</w:t>
      </w:r>
      <w:r>
        <w:rPr>
          <w:rFonts w:ascii="arial" w:eastAsia="arial" w:hAnsi="arial" w:cs="arial"/>
          <w:b w:val="0"/>
          <w:i w:val="0"/>
          <w:strike w:val="0"/>
          <w:noProof w:val="0"/>
          <w:color w:val="000000"/>
          <w:position w:val="0"/>
          <w:sz w:val="18"/>
          <w:u w:val="none"/>
          <w:vertAlign w:val="baseline"/>
        </w:rPr>
        <w:t xml:space="preserve">, explicitly reaffirming that both statutory and constitutional challenges to detention may still be made by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petition)).</w:t>
      </w:r>
    </w:p>
  </w:footnote>
  <w:footnote w:id="1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132 </w:t>
      </w:r>
      <w:hyperlink r:id="rId209" w:history="1">
        <w:r>
          <w:rPr>
            <w:rFonts w:ascii="arial" w:eastAsia="arial" w:hAnsi="arial" w:cs="arial"/>
            <w:b w:val="0"/>
            <w:i/>
            <w:strike w:val="0"/>
            <w:noProof w:val="0"/>
            <w:color w:val="0077CC"/>
            <w:position w:val="0"/>
            <w:sz w:val="18"/>
            <w:u w:val="single"/>
            <w:shd w:val="clear" w:color="auto" w:fill="FFFFFF"/>
            <w:vertAlign w:val="baseline"/>
          </w:rPr>
          <w:t>INA § 236A(b)(1)</w:t>
        </w:r>
      </w:hyperlink>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8 U.S.C. § 1226a(b)(1)</w:t>
        </w:r>
      </w:hyperlink>
      <w:r>
        <w:rPr>
          <w:rFonts w:ascii="arial" w:eastAsia="arial" w:hAnsi="arial" w:cs="arial"/>
          <w:b w:val="0"/>
          <w:i w:val="0"/>
          <w:strike w:val="0"/>
          <w:noProof w:val="0"/>
          <w:color w:val="000000"/>
          <w:position w:val="0"/>
          <w:sz w:val="18"/>
          <w:u w:val="none"/>
          <w:vertAlign w:val="baseline"/>
        </w:rPr>
        <w:t>.</w:t>
      </w:r>
    </w:p>
  </w:footnote>
  <w:footnote w:id="1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133 </w:t>
      </w:r>
      <w:hyperlink r:id="rId209" w:history="1">
        <w:r>
          <w:rPr>
            <w:rFonts w:ascii="arial" w:eastAsia="arial" w:hAnsi="arial" w:cs="arial"/>
            <w:b w:val="0"/>
            <w:i/>
            <w:strike w:val="0"/>
            <w:noProof w:val="0"/>
            <w:color w:val="0077CC"/>
            <w:position w:val="0"/>
            <w:sz w:val="18"/>
            <w:u w:val="single"/>
            <w:shd w:val="clear" w:color="auto" w:fill="FFFFFF"/>
            <w:vertAlign w:val="baseline"/>
          </w:rPr>
          <w:t>INA § 236A(b)(2)</w:t>
        </w:r>
      </w:hyperlink>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8 U.S.C. § 1226a(b)(2)</w:t>
        </w:r>
      </w:hyperlink>
      <w:r>
        <w:rPr>
          <w:rFonts w:ascii="arial" w:eastAsia="arial" w:hAnsi="arial" w:cs="arial"/>
          <w:b w:val="0"/>
          <w:i w:val="0"/>
          <w:strike w:val="0"/>
          <w:noProof w:val="0"/>
          <w:color w:val="000000"/>
          <w:position w:val="0"/>
          <w:sz w:val="18"/>
          <w:u w:val="none"/>
          <w:vertAlign w:val="baseline"/>
        </w:rPr>
        <w:t>.</w:t>
      </w:r>
    </w:p>
  </w:footnote>
  <w:footnote w:id="1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134 </w:t>
      </w:r>
      <w:hyperlink r:id="rId209" w:history="1">
        <w:r>
          <w:rPr>
            <w:rFonts w:ascii="arial" w:eastAsia="arial" w:hAnsi="arial" w:cs="arial"/>
            <w:b w:val="0"/>
            <w:i/>
            <w:strike w:val="0"/>
            <w:noProof w:val="0"/>
            <w:color w:val="0077CC"/>
            <w:position w:val="0"/>
            <w:sz w:val="18"/>
            <w:u w:val="single"/>
            <w:shd w:val="clear" w:color="auto" w:fill="FFFFFF"/>
            <w:vertAlign w:val="baseline"/>
          </w:rPr>
          <w:t>INA § 236A(b)(3)</w:t>
        </w:r>
      </w:hyperlink>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8 U.S.C. § 1226a(b)(3)</w:t>
        </w:r>
      </w:hyperlink>
      <w:r>
        <w:rPr>
          <w:rFonts w:ascii="arial" w:eastAsia="arial" w:hAnsi="arial" w:cs="arial"/>
          <w:b w:val="0"/>
          <w:i w:val="0"/>
          <w:strike w:val="0"/>
          <w:noProof w:val="0"/>
          <w:color w:val="000000"/>
          <w:position w:val="0"/>
          <w:sz w:val="18"/>
          <w:u w:val="none"/>
          <w:vertAlign w:val="baseline"/>
        </w:rPr>
        <w:t>.</w:t>
      </w:r>
    </w:p>
  </w:footnote>
  <w:footnote w:id="1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135 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2241(c)</w:t>
        </w:r>
      </w:hyperlink>
      <w:r>
        <w:rPr>
          <w:rFonts w:ascii="arial" w:eastAsia="arial" w:hAnsi="arial" w:cs="arial"/>
          <w:b w:val="0"/>
          <w:i w:val="0"/>
          <w:strike w:val="0"/>
          <w:noProof w:val="0"/>
          <w:color w:val="000000"/>
          <w:position w:val="0"/>
          <w:sz w:val="18"/>
          <w:u w:val="none"/>
          <w:vertAlign w:val="baseline"/>
        </w:rPr>
        <w:t xml:space="preserve">; </w:t>
      </w:r>
      <w:hyperlink r:id="rId211" w:history="1">
        <w:r>
          <w:rPr>
            <w:rFonts w:ascii="arial" w:eastAsia="arial" w:hAnsi="arial" w:cs="arial"/>
            <w:b w:val="0"/>
            <w:i/>
            <w:strike w:val="0"/>
            <w:noProof w:val="0"/>
            <w:color w:val="0077CC"/>
            <w:position w:val="0"/>
            <w:sz w:val="18"/>
            <w:u w:val="single"/>
            <w:shd w:val="clear" w:color="auto" w:fill="FFFFFF"/>
            <w:vertAlign w:val="baseline"/>
          </w:rPr>
          <w:t>Deutsch v. United States, 943 F. Supp. 276, 278-79 (W.D.N.Y. 1996)</w:t>
        </w:r>
      </w:hyperlink>
      <w:r>
        <w:rPr>
          <w:rFonts w:ascii="arial" w:eastAsia="arial" w:hAnsi="arial" w:cs="arial"/>
          <w:b w:val="0"/>
          <w:i w:val="0"/>
          <w:strike w:val="0"/>
          <w:noProof w:val="0"/>
          <w:color w:val="000000"/>
          <w:position w:val="0"/>
          <w:sz w:val="18"/>
          <w:u w:val="none"/>
          <w:vertAlign w:val="baseline"/>
        </w:rPr>
        <w:t xml:space="preserve"> (citing cases).</w:t>
      </w:r>
    </w:p>
  </w:footnote>
  <w:footnote w:id="1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136 </w:t>
      </w:r>
      <w:hyperlink r:id="rId58" w:history="1">
        <w:r>
          <w:rPr>
            <w:rFonts w:ascii="arial" w:eastAsia="arial" w:hAnsi="arial" w:cs="arial"/>
            <w:b w:val="0"/>
            <w:i/>
            <w:strike w:val="0"/>
            <w:noProof w:val="0"/>
            <w:color w:val="0077CC"/>
            <w:position w:val="0"/>
            <w:sz w:val="18"/>
            <w:u w:val="single"/>
            <w:shd w:val="clear" w:color="auto" w:fill="FFFFFF"/>
            <w:vertAlign w:val="baseline"/>
          </w:rPr>
          <w:t>371 U.S. 236 (1963)</w:t>
        </w:r>
      </w:hyperlink>
      <w:r>
        <w:rPr>
          <w:rFonts w:ascii="arial" w:eastAsia="arial" w:hAnsi="arial" w:cs="arial"/>
          <w:b w:val="0"/>
          <w:i w:val="0"/>
          <w:strike w:val="0"/>
          <w:noProof w:val="0"/>
          <w:color w:val="000000"/>
          <w:position w:val="0"/>
          <w:sz w:val="18"/>
          <w:u w:val="none"/>
          <w:vertAlign w:val="baseline"/>
        </w:rPr>
        <w:t>.</w:t>
      </w:r>
    </w:p>
  </w:footnote>
  <w:footnote w:id="1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137 </w:t>
      </w:r>
      <w:hyperlink r:id="rId58"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58" w:history="1">
        <w:r>
          <w:rPr>
            <w:rFonts w:ascii="arial" w:eastAsia="arial" w:hAnsi="arial" w:cs="arial"/>
            <w:b w:val="0"/>
            <w:i/>
            <w:strike w:val="0"/>
            <w:noProof w:val="0"/>
            <w:color w:val="0077CC"/>
            <w:position w:val="0"/>
            <w:sz w:val="18"/>
            <w:u w:val="single"/>
            <w:shd w:val="clear" w:color="auto" w:fill="FFFFFF"/>
            <w:vertAlign w:val="baseline"/>
          </w:rPr>
          <w:t>. at 238–42</w:t>
        </w:r>
      </w:hyperlink>
      <w:r>
        <w:rPr>
          <w:rFonts w:ascii="arial" w:eastAsia="arial" w:hAnsi="arial" w:cs="arial"/>
          <w:b w:val="0"/>
          <w:i w:val="0"/>
          <w:strike w:val="0"/>
          <w:noProof w:val="0"/>
          <w:color w:val="000000"/>
          <w:position w:val="0"/>
          <w:sz w:val="18"/>
          <w:u w:val="none"/>
          <w:vertAlign w:val="baseline"/>
        </w:rPr>
        <w:t>.</w:t>
      </w:r>
    </w:p>
  </w:footnote>
  <w:footnote w:id="1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138 </w:t>
      </w:r>
      <w:hyperlink r:id="rId212" w:history="1">
        <w:r>
          <w:rPr>
            <w:rFonts w:ascii="arial" w:eastAsia="arial" w:hAnsi="arial" w:cs="arial"/>
            <w:b w:val="0"/>
            <w:i/>
            <w:strike w:val="0"/>
            <w:noProof w:val="0"/>
            <w:color w:val="0077CC"/>
            <w:position w:val="0"/>
            <w:sz w:val="18"/>
            <w:u w:val="single"/>
            <w:shd w:val="clear" w:color="auto" w:fill="FFFFFF"/>
            <w:vertAlign w:val="baseline"/>
          </w:rPr>
          <w:t>411 U.S. 345 (1973)</w:t>
        </w:r>
      </w:hyperlink>
      <w:r>
        <w:rPr>
          <w:rFonts w:ascii="arial" w:eastAsia="arial" w:hAnsi="arial" w:cs="arial"/>
          <w:b w:val="0"/>
          <w:i w:val="0"/>
          <w:strike w:val="0"/>
          <w:noProof w:val="0"/>
          <w:color w:val="000000"/>
          <w:position w:val="0"/>
          <w:sz w:val="18"/>
          <w:u w:val="none"/>
          <w:vertAlign w:val="baseline"/>
        </w:rPr>
        <w:t>.</w:t>
      </w:r>
    </w:p>
  </w:footnote>
  <w:footnote w:id="1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139 </w:t>
      </w:r>
      <w:hyperlink r:id="rId49" w:history="1">
        <w:r>
          <w:rPr>
            <w:rFonts w:ascii="arial" w:eastAsia="arial" w:hAnsi="arial" w:cs="arial"/>
            <w:b w:val="0"/>
            <w:i/>
            <w:strike w:val="0"/>
            <w:noProof w:val="0"/>
            <w:color w:val="0077CC"/>
            <w:position w:val="0"/>
            <w:sz w:val="18"/>
            <w:u w:val="single"/>
            <w:shd w:val="clear" w:color="auto" w:fill="FFFFFF"/>
            <w:vertAlign w:val="baseline"/>
          </w:rPr>
          <w:t>634 F.2d 964 (5th Cir. 1981)</w:t>
        </w:r>
      </w:hyperlink>
      <w:r>
        <w:rPr>
          <w:rFonts w:ascii="arial" w:eastAsia="arial" w:hAnsi="arial" w:cs="arial"/>
          <w:b w:val="0"/>
          <w:i w:val="0"/>
          <w:strike w:val="0"/>
          <w:noProof w:val="0"/>
          <w:color w:val="000000"/>
          <w:position w:val="0"/>
          <w:sz w:val="18"/>
          <w:u w:val="none"/>
          <w:vertAlign w:val="baseline"/>
        </w:rPr>
        <w:t>.</w:t>
      </w:r>
    </w:p>
  </w:footnote>
  <w:footnote w:id="14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140 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13" w:history="1">
        <w:r>
          <w:rPr>
            <w:rFonts w:ascii="arial" w:eastAsia="arial" w:hAnsi="arial" w:cs="arial"/>
            <w:b w:val="0"/>
            <w:i/>
            <w:strike w:val="0"/>
            <w:noProof w:val="0"/>
            <w:color w:val="0077CC"/>
            <w:position w:val="0"/>
            <w:sz w:val="18"/>
            <w:u w:val="single"/>
            <w:shd w:val="clear" w:color="auto" w:fill="FFFFFF"/>
            <w:vertAlign w:val="baseline"/>
          </w:rPr>
          <w:t>Umanzor v. Lambert, 782 F.2d 1299, 1302 (5th Cir. 1986)</w:t>
        </w:r>
      </w:hyperlink>
      <w:r>
        <w:rPr>
          <w:rFonts w:ascii="arial" w:eastAsia="arial" w:hAnsi="arial" w:cs="arial"/>
          <w:b w:val="0"/>
          <w:i w:val="0"/>
          <w:strike w:val="0"/>
          <w:noProof w:val="0"/>
          <w:color w:val="000000"/>
          <w:position w:val="0"/>
          <w:sz w:val="18"/>
          <w:u w:val="none"/>
          <w:vertAlign w:val="baseline"/>
        </w:rPr>
        <w:t xml:space="preserve"> (“actual, physical custody in a place of detention” was required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review); </w:t>
      </w:r>
      <w:hyperlink r:id="rId214" w:history="1">
        <w:r>
          <w:rPr>
            <w:rFonts w:ascii="arial" w:eastAsia="arial" w:hAnsi="arial" w:cs="arial"/>
            <w:b w:val="0"/>
            <w:i/>
            <w:strike w:val="0"/>
            <w:noProof w:val="0"/>
            <w:color w:val="0077CC"/>
            <w:position w:val="0"/>
            <w:sz w:val="18"/>
            <w:u w:val="single"/>
            <w:shd w:val="clear" w:color="auto" w:fill="FFFFFF"/>
            <w:vertAlign w:val="baseline"/>
          </w:rPr>
          <w:t>Isaraphanich v. Sava, 663 F. Supp. 120 (S.D.N.Y. 1987)</w:t>
        </w:r>
      </w:hyperlink>
      <w:r>
        <w:rPr>
          <w:rFonts w:ascii="arial" w:eastAsia="arial" w:hAnsi="arial" w:cs="arial"/>
          <w:b w:val="0"/>
          <w:i w:val="0"/>
          <w:strike w:val="0"/>
          <w:noProof w:val="0"/>
          <w:color w:val="000000"/>
          <w:position w:val="0"/>
          <w:sz w:val="18"/>
          <w:u w:val="none"/>
          <w:vertAlign w:val="baseline"/>
        </w:rPr>
        <w:t xml:space="preserve"> (person who posts bond is not in custody).</w:t>
      </w:r>
    </w:p>
  </w:footnote>
  <w:footnote w:id="14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141 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15" w:history="1">
        <w:r>
          <w:rPr>
            <w:rFonts w:ascii="arial" w:eastAsia="arial" w:hAnsi="arial" w:cs="arial"/>
            <w:b w:val="0"/>
            <w:i/>
            <w:strike w:val="0"/>
            <w:noProof w:val="0"/>
            <w:color w:val="0077CC"/>
            <w:position w:val="0"/>
            <w:sz w:val="18"/>
            <w:u w:val="single"/>
            <w:shd w:val="clear" w:color="auto" w:fill="FFFFFF"/>
            <w:vertAlign w:val="baseline"/>
          </w:rPr>
          <w:t>Duran v. Reno, 193 F.3d 82, 84 (2d Cir. 1999)</w:t>
        </w:r>
      </w:hyperlink>
      <w:r>
        <w:rPr>
          <w:rFonts w:ascii="arial" w:eastAsia="arial" w:hAnsi="arial" w:cs="arial"/>
          <w:b w:val="0"/>
          <w:i w:val="0"/>
          <w:strike w:val="0"/>
          <w:noProof w:val="0"/>
          <w:color w:val="000000"/>
          <w:position w:val="0"/>
          <w:sz w:val="18"/>
          <w:u w:val="none"/>
          <w:vertAlign w:val="baseline"/>
        </w:rPr>
        <w:t xml:space="preserve">; </w:t>
      </w:r>
      <w:hyperlink r:id="rId216" w:history="1">
        <w:r>
          <w:rPr>
            <w:rFonts w:ascii="arial" w:eastAsia="arial" w:hAnsi="arial" w:cs="arial"/>
            <w:b w:val="0"/>
            <w:i/>
            <w:strike w:val="0"/>
            <w:noProof w:val="0"/>
            <w:color w:val="0077CC"/>
            <w:position w:val="0"/>
            <w:sz w:val="18"/>
            <w:u w:val="single"/>
            <w:shd w:val="clear" w:color="auto" w:fill="FFFFFF"/>
            <w:vertAlign w:val="baseline"/>
          </w:rPr>
          <w:t>Frazier v. Wilkinson, 842 F.2d 42, 44–45 (2d Cir. 1988)</w:t>
        </w:r>
      </w:hyperlink>
      <w:r>
        <w:rPr>
          <w:rFonts w:ascii="arial" w:eastAsia="arial" w:hAnsi="arial" w:cs="arial"/>
          <w:b w:val="0"/>
          <w:i w:val="0"/>
          <w:strike w:val="0"/>
          <w:noProof w:val="0"/>
          <w:color w:val="000000"/>
          <w:position w:val="0"/>
          <w:sz w:val="18"/>
          <w:u w:val="none"/>
          <w:vertAlign w:val="baseline"/>
        </w:rPr>
        <w:t xml:space="preserve">; </w:t>
      </w:r>
      <w:hyperlink r:id="rId213" w:history="1">
        <w:r>
          <w:rPr>
            <w:rFonts w:ascii="arial" w:eastAsia="arial" w:hAnsi="arial" w:cs="arial"/>
            <w:b w:val="0"/>
            <w:i/>
            <w:strike w:val="0"/>
            <w:noProof w:val="0"/>
            <w:color w:val="0077CC"/>
            <w:position w:val="0"/>
            <w:sz w:val="18"/>
            <w:u w:val="single"/>
            <w:shd w:val="clear" w:color="auto" w:fill="FFFFFF"/>
            <w:vertAlign w:val="baseline"/>
          </w:rPr>
          <w:t>Umanzor v. Lambert, 782 F.2d 1299, 1302 (5th Cir. 1986)</w:t>
        </w:r>
      </w:hyperlink>
      <w:r>
        <w:rPr>
          <w:rFonts w:ascii="arial" w:eastAsia="arial" w:hAnsi="arial" w:cs="arial"/>
          <w:b w:val="0"/>
          <w:i w:val="0"/>
          <w:strike w:val="0"/>
          <w:noProof w:val="0"/>
          <w:color w:val="000000"/>
          <w:position w:val="0"/>
          <w:sz w:val="18"/>
          <w:u w:val="none"/>
          <w:vertAlign w:val="baseline"/>
        </w:rPr>
        <w:t xml:space="preserve"> (petitioner under actual physical restraint by the government’s agent—the airline—at the moment 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was filed is “in custody”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purposes); </w:t>
      </w:r>
      <w:hyperlink r:id="rId217" w:history="1">
        <w:r>
          <w:rPr>
            <w:rFonts w:ascii="arial" w:eastAsia="arial" w:hAnsi="arial" w:cs="arial"/>
            <w:b w:val="0"/>
            <w:i/>
            <w:strike w:val="0"/>
            <w:noProof w:val="0"/>
            <w:color w:val="0077CC"/>
            <w:position w:val="0"/>
            <w:sz w:val="18"/>
            <w:u w:val="single"/>
            <w:shd w:val="clear" w:color="auto" w:fill="FFFFFF"/>
            <w:vertAlign w:val="baseline"/>
          </w:rPr>
          <w:t>Kanivets v. Riley, 286 F. Supp. 2d 460, 464 (E.D. Pa. 2003)</w:t>
        </w:r>
      </w:hyperlink>
      <w:r>
        <w:rPr>
          <w:rFonts w:ascii="arial" w:eastAsia="arial" w:hAnsi="arial" w:cs="arial"/>
          <w:b w:val="0"/>
          <w:i w:val="0"/>
          <w:strike w:val="0"/>
          <w:noProof w:val="0"/>
          <w:color w:val="000000"/>
          <w:position w:val="0"/>
          <w:sz w:val="18"/>
          <w:u w:val="none"/>
          <w:vertAlign w:val="baseline"/>
        </w:rPr>
        <w:t xml:space="preserve"> (petitioner subject to notice to surrender for detention pending deportation is “in custody”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purposes).</w:t>
      </w:r>
    </w:p>
  </w:footnote>
  <w:footnote w:id="14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142 </w:t>
      </w:r>
      <w:hyperlink r:id="rId218" w:history="1">
        <w:r>
          <w:rPr>
            <w:rFonts w:ascii="arial" w:eastAsia="arial" w:hAnsi="arial" w:cs="arial"/>
            <w:b w:val="0"/>
            <w:i/>
            <w:strike w:val="0"/>
            <w:noProof w:val="0"/>
            <w:color w:val="0077CC"/>
            <w:position w:val="0"/>
            <w:sz w:val="18"/>
            <w:u w:val="single"/>
            <w:shd w:val="clear" w:color="auto" w:fill="FFFFFF"/>
            <w:vertAlign w:val="baseline"/>
          </w:rPr>
          <w:t>Sanchez v. District Director, 962 F. Supp. 1210, 1213 (D. Neb. 1996)</w:t>
        </w:r>
      </w:hyperlink>
      <w:r>
        <w:rPr>
          <w:rFonts w:ascii="arial" w:eastAsia="arial" w:hAnsi="arial" w:cs="arial"/>
          <w:b w:val="0"/>
          <w:i w:val="0"/>
          <w:strike w:val="0"/>
          <w:noProof w:val="0"/>
          <w:color w:val="000000"/>
          <w:position w:val="0"/>
          <w:sz w:val="18"/>
          <w:u w:val="none"/>
          <w:vertAlign w:val="baseline"/>
        </w:rPr>
        <w:t xml:space="preserve"> (citing </w:t>
      </w:r>
      <w:hyperlink r:id="rId58" w:history="1">
        <w:r>
          <w:rPr>
            <w:rFonts w:ascii="arial" w:eastAsia="arial" w:hAnsi="arial" w:cs="arial"/>
            <w:b w:val="0"/>
            <w:i/>
            <w:strike w:val="0"/>
            <w:noProof w:val="0"/>
            <w:color w:val="0077CC"/>
            <w:position w:val="0"/>
            <w:sz w:val="18"/>
            <w:u w:val="single"/>
            <w:shd w:val="clear" w:color="auto" w:fill="FFFFFF"/>
            <w:vertAlign w:val="baseline"/>
          </w:rPr>
          <w:t>Jones v. Cunningham, 371 U.S. 236 (1963))</w:t>
        </w:r>
      </w:hyperlink>
      <w:r>
        <w:rPr>
          <w:rFonts w:ascii="arial" w:eastAsia="arial" w:hAnsi="arial" w:cs="arial"/>
          <w:b w:val="0"/>
          <w:i w:val="0"/>
          <w:strike w:val="0"/>
          <w:noProof w:val="0"/>
          <w:color w:val="000000"/>
          <w:position w:val="0"/>
          <w:sz w:val="18"/>
          <w:u w:val="none"/>
          <w:vertAlign w:val="baseline"/>
        </w:rPr>
        <w:t>.</w:t>
      </w:r>
    </w:p>
  </w:footnote>
  <w:footnote w:id="14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19" w:history="1">
        <w:r>
          <w:rPr>
            <w:rFonts w:ascii="arial" w:eastAsia="arial" w:hAnsi="arial" w:cs="arial"/>
            <w:b w:val="0"/>
            <w:i/>
            <w:strike w:val="0"/>
            <w:noProof w:val="0"/>
            <w:color w:val="0077CC"/>
            <w:position w:val="0"/>
            <w:sz w:val="18"/>
            <w:u w:val="single"/>
            <w:shd w:val="clear" w:color="auto" w:fill="FFFFFF"/>
            <w:vertAlign w:val="baseline"/>
          </w:rPr>
          <w:t>Lieggi v. INS, 389 F. Supp. 12, 15 (N.D. Ill. 1975)</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rev’d without opinion</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529 F.2d 530 (7th Cir. 1976)</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available to noncitizen required to surrender for deportation); </w:t>
      </w:r>
      <w:hyperlink r:id="rId220" w:history="1">
        <w:r>
          <w:rPr>
            <w:rFonts w:ascii="arial" w:eastAsia="arial" w:hAnsi="arial" w:cs="arial"/>
            <w:b w:val="0"/>
            <w:i/>
            <w:strike w:val="0"/>
            <w:noProof w:val="0"/>
            <w:color w:val="0077CC"/>
            <w:position w:val="0"/>
            <w:sz w:val="18"/>
            <w:u w:val="single"/>
            <w:shd w:val="clear" w:color="auto" w:fill="FFFFFF"/>
            <w:vertAlign w:val="baseline"/>
          </w:rPr>
          <w:t>Varga v. Rosenberg, 237 F. Supp. 282 (S.D. Cal. 1964)</w:t>
        </w:r>
      </w:hyperlink>
      <w:r>
        <w:rPr>
          <w:rFonts w:ascii="arial" w:eastAsia="arial" w:hAnsi="arial" w:cs="arial"/>
          <w:b w:val="0"/>
          <w:i w:val="0"/>
          <w:strike w:val="0"/>
          <w:noProof w:val="0"/>
          <w:color w:val="000000"/>
          <w:position w:val="0"/>
          <w:sz w:val="18"/>
          <w:u w:val="none"/>
          <w:vertAlign w:val="baseline"/>
        </w:rPr>
        <w:t xml:space="preserve"> (right to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for noncitizen released on bond after a deportation order).</w:t>
      </w:r>
    </w:p>
  </w:footnote>
  <w:footnote w:id="1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144 </w:t>
      </w:r>
      <w:hyperlink r:id="rId221" w:history="1">
        <w:r>
          <w:rPr>
            <w:rFonts w:ascii="arial" w:eastAsia="arial" w:hAnsi="arial" w:cs="arial"/>
            <w:b w:val="0"/>
            <w:i/>
            <w:strike w:val="0"/>
            <w:noProof w:val="0"/>
            <w:color w:val="0077CC"/>
            <w:position w:val="0"/>
            <w:sz w:val="18"/>
            <w:u w:val="single"/>
            <w:shd w:val="clear" w:color="auto" w:fill="FFFFFF"/>
            <w:vertAlign w:val="baseline"/>
          </w:rPr>
          <w:t>Nakaranurack v. United States, 68 F.3d 290, 293 (9th Cir. 1995)</w:t>
        </w:r>
      </w:hyperlink>
      <w:r>
        <w:rPr>
          <w:rFonts w:ascii="arial" w:eastAsia="arial" w:hAnsi="arial" w:cs="arial"/>
          <w:b w:val="0"/>
          <w:i w:val="0"/>
          <w:strike w:val="0"/>
          <w:noProof w:val="0"/>
          <w:color w:val="000000"/>
          <w:position w:val="0"/>
          <w:sz w:val="18"/>
          <w:u w:val="none"/>
          <w:vertAlign w:val="baseline"/>
        </w:rPr>
        <w:t xml:space="preserve">; </w:t>
      </w:r>
      <w:hyperlink r:id="rId222" w:history="1">
        <w:r>
          <w:rPr>
            <w:rFonts w:ascii="arial" w:eastAsia="arial" w:hAnsi="arial" w:cs="arial"/>
            <w:b w:val="0"/>
            <w:i/>
            <w:strike w:val="0"/>
            <w:noProof w:val="0"/>
            <w:color w:val="0077CC"/>
            <w:position w:val="0"/>
            <w:sz w:val="18"/>
            <w:u w:val="single"/>
            <w:shd w:val="clear" w:color="auto" w:fill="FFFFFF"/>
            <w:vertAlign w:val="baseline"/>
          </w:rPr>
          <w:t>Marcello v. District Director, 472 F. Supp. 1199, 1204 (E.D. La. 1979)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rev’d on other grounds</w:t>
      </w:r>
      <w:r>
        <w:rPr>
          <w:rFonts w:ascii="arial" w:eastAsia="arial" w:hAnsi="arial" w:cs="arial"/>
          <w:b w:val="0"/>
          <w:i w:val="0"/>
          <w:strike w:val="0"/>
          <w:noProof w:val="0"/>
          <w:color w:val="000000"/>
          <w:position w:val="0"/>
          <w:sz w:val="18"/>
          <w:u w:val="none"/>
          <w:vertAlign w:val="baseline"/>
        </w:rPr>
        <w:t xml:space="preserve">, </w:t>
      </w:r>
      <w:hyperlink r:id="rId49" w:history="1">
        <w:r>
          <w:rPr>
            <w:rFonts w:ascii="arial" w:eastAsia="arial" w:hAnsi="arial" w:cs="arial"/>
            <w:b w:val="0"/>
            <w:i/>
            <w:strike w:val="0"/>
            <w:noProof w:val="0"/>
            <w:color w:val="0077CC"/>
            <w:position w:val="0"/>
            <w:sz w:val="18"/>
            <w:u w:val="single"/>
            <w:shd w:val="clear" w:color="auto" w:fill="FFFFFF"/>
            <w:vertAlign w:val="baseline"/>
          </w:rPr>
          <w:t>634 F.2d 964 (5th Cir. 1981)</w:t>
        </w:r>
      </w:hyperlink>
      <w:r>
        <w:rPr>
          <w:rFonts w:ascii="arial" w:eastAsia="arial" w:hAnsi="arial" w:cs="arial"/>
          <w:b w:val="0"/>
          <w:i w:val="0"/>
          <w:strike w:val="0"/>
          <w:noProof w:val="0"/>
          <w:color w:val="000000"/>
          <w:position w:val="0"/>
          <w:sz w:val="18"/>
          <w:u w:val="none"/>
          <w:vertAlign w:val="baseline"/>
        </w:rPr>
        <w:t>.</w:t>
      </w:r>
    </w:p>
  </w:footnote>
  <w:footnote w:id="1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145 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23" w:history="1">
        <w:r>
          <w:rPr>
            <w:rFonts w:ascii="arial" w:eastAsia="arial" w:hAnsi="arial" w:cs="arial"/>
            <w:b w:val="0"/>
            <w:i/>
            <w:strike w:val="0"/>
            <w:noProof w:val="0"/>
            <w:color w:val="0077CC"/>
            <w:position w:val="0"/>
            <w:sz w:val="18"/>
            <w:u w:val="single"/>
            <w:shd w:val="clear" w:color="auto" w:fill="FFFFFF"/>
            <w:vertAlign w:val="baseline"/>
          </w:rPr>
          <w:t>Salehi v. District Director, 796 F.2d 1286, 1289 n.5 (10th Cir. 1986)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appropriate when noncitizens were arrested by INS but later released under court injunction); </w:t>
      </w:r>
      <w:hyperlink r:id="rId48" w:history="1">
        <w:r>
          <w:rPr>
            <w:rFonts w:ascii="arial" w:eastAsia="arial" w:hAnsi="arial" w:cs="arial"/>
            <w:b w:val="0"/>
            <w:i/>
            <w:strike w:val="0"/>
            <w:noProof w:val="0"/>
            <w:color w:val="0077CC"/>
            <w:position w:val="0"/>
            <w:sz w:val="18"/>
            <w:u w:val="single"/>
            <w:shd w:val="clear" w:color="auto" w:fill="FFFFFF"/>
            <w:vertAlign w:val="baseline"/>
          </w:rPr>
          <w:t>Williams v. INS, 795 F.2d 738, 745 (9th Cir. 1986)</w:t>
        </w:r>
      </w:hyperlink>
      <w:r>
        <w:rPr>
          <w:rFonts w:ascii="arial" w:eastAsia="arial" w:hAnsi="arial" w:cs="arial"/>
          <w:b w:val="0"/>
          <w:i w:val="0"/>
          <w:strike w:val="0"/>
          <w:noProof w:val="0"/>
          <w:color w:val="000000"/>
          <w:position w:val="0"/>
          <w:sz w:val="18"/>
          <w:u w:val="none"/>
          <w:vertAlign w:val="baseline"/>
        </w:rPr>
        <w:t xml:space="preserve"> (upholding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jurisdiction to review final deportation order when the noncitizen has been ordered to report for deportation); </w:t>
      </w:r>
      <w:hyperlink r:id="rId224" w:history="1">
        <w:r>
          <w:rPr>
            <w:rFonts w:ascii="arial" w:eastAsia="arial" w:hAnsi="arial" w:cs="arial"/>
            <w:b w:val="0"/>
            <w:i/>
            <w:strike w:val="0"/>
            <w:noProof w:val="0"/>
            <w:color w:val="0077CC"/>
            <w:position w:val="0"/>
            <w:sz w:val="18"/>
            <w:u w:val="single"/>
            <w:shd w:val="clear" w:color="auto" w:fill="FFFFFF"/>
            <w:vertAlign w:val="baseline"/>
          </w:rPr>
          <w:t>Gurbisz v. INS, 675 F. Supp. 436, 441 (N.D. Ill. 1987)</w:t>
        </w:r>
      </w:hyperlink>
      <w:r>
        <w:rPr>
          <w:rFonts w:ascii="arial" w:eastAsia="arial" w:hAnsi="arial" w:cs="arial"/>
          <w:b w:val="0"/>
          <w:i w:val="0"/>
          <w:strike w:val="0"/>
          <w:noProof w:val="0"/>
          <w:color w:val="000000"/>
          <w:position w:val="0"/>
          <w:sz w:val="18"/>
          <w:u w:val="none"/>
          <w:vertAlign w:val="baseline"/>
        </w:rPr>
        <w:t xml:space="preserve"> (noncitizens subject to final orders of deportation are in custody for purpose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jurisdiction); </w:t>
      </w:r>
      <w:hyperlink r:id="rId67" w:history="1">
        <w:r>
          <w:rPr>
            <w:rFonts w:ascii="arial" w:eastAsia="arial" w:hAnsi="arial" w:cs="arial"/>
            <w:b w:val="0"/>
            <w:i/>
            <w:strike w:val="0"/>
            <w:noProof w:val="0"/>
            <w:color w:val="0077CC"/>
            <w:position w:val="0"/>
            <w:sz w:val="18"/>
            <w:u w:val="single"/>
            <w:shd w:val="clear" w:color="auto" w:fill="FFFFFF"/>
            <w:vertAlign w:val="baseline"/>
          </w:rPr>
          <w:t>Application of Phelisna, 551 F. Supp. 960, 961 (E.D.N.Y. 1982)</w:t>
        </w:r>
      </w:hyperlink>
      <w:r>
        <w:rPr>
          <w:rFonts w:ascii="arial" w:eastAsia="arial" w:hAnsi="arial" w:cs="arial"/>
          <w:b w:val="0"/>
          <w:i w:val="0"/>
          <w:strike w:val="0"/>
          <w:noProof w:val="0"/>
          <w:color w:val="000000"/>
          <w:position w:val="0"/>
          <w:sz w:val="18"/>
          <w:u w:val="none"/>
          <w:vertAlign w:val="baseline"/>
        </w:rPr>
        <w:t xml:space="preserve"> (paroled noncitizen is in “the constructive custody of the Service”).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225" w:history="1">
        <w:r>
          <w:rPr>
            <w:rFonts w:ascii="arial" w:eastAsia="arial" w:hAnsi="arial" w:cs="arial"/>
            <w:b w:val="0"/>
            <w:i/>
            <w:strike w:val="0"/>
            <w:noProof w:val="0"/>
            <w:color w:val="0077CC"/>
            <w:position w:val="0"/>
            <w:sz w:val="18"/>
            <w:u w:val="single"/>
            <w:shd w:val="clear" w:color="auto" w:fill="FFFFFF"/>
            <w:vertAlign w:val="baseline"/>
          </w:rPr>
          <w:t>Singh v. INS, 825 F. Supp. 143 (S.D. Tex. 1993)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inapplicable where noncitizen deliberately bypassed appeal to circuit court); </w:t>
      </w:r>
      <w:hyperlink r:id="rId226" w:history="1">
        <w:r>
          <w:rPr>
            <w:rFonts w:ascii="arial" w:eastAsia="arial" w:hAnsi="arial" w:cs="arial"/>
            <w:b w:val="0"/>
            <w:i/>
            <w:strike w:val="0"/>
            <w:noProof w:val="0"/>
            <w:color w:val="0077CC"/>
            <w:position w:val="0"/>
            <w:sz w:val="18"/>
            <w:u w:val="single"/>
            <w:shd w:val="clear" w:color="auto" w:fill="FFFFFF"/>
            <w:vertAlign w:val="baseline"/>
          </w:rPr>
          <w:t>Okechukwu v. United States, 825 F. Supp. 139 (S.D. Tex. 1993)</w:t>
        </w:r>
      </w:hyperlink>
      <w:r>
        <w:rPr>
          <w:rFonts w:ascii="arial" w:eastAsia="arial" w:hAnsi="arial" w:cs="arial"/>
          <w:b w:val="0"/>
          <w:i w:val="0"/>
          <w:strike w:val="0"/>
          <w:noProof w:val="0"/>
          <w:color w:val="000000"/>
          <w:position w:val="0"/>
          <w:sz w:val="18"/>
          <w:u w:val="none"/>
          <w:vertAlign w:val="baseline"/>
        </w:rPr>
        <w:t xml:space="preserve"> (deliberate bypass also found where, because of attorney’s neglect, noncitizen never filed a petition for review with circuit court until two years after BIA decision).</w:t>
      </w:r>
    </w:p>
  </w:footnote>
  <w:footnote w:id="14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146 </w:t>
      </w:r>
      <w:hyperlink r:id="rId218" w:history="1">
        <w:r>
          <w:rPr>
            <w:rFonts w:ascii="arial" w:eastAsia="arial" w:hAnsi="arial" w:cs="arial"/>
            <w:b w:val="0"/>
            <w:i/>
            <w:strike w:val="0"/>
            <w:noProof w:val="0"/>
            <w:color w:val="0077CC"/>
            <w:position w:val="0"/>
            <w:sz w:val="18"/>
            <w:u w:val="single"/>
            <w:shd w:val="clear" w:color="auto" w:fill="FFFFFF"/>
            <w:vertAlign w:val="baseline"/>
          </w:rPr>
          <w:t>Sanchez v. District Director, 962 F. Supp. 1210, 1213 (D. Neb. 1996)</w:t>
        </w:r>
      </w:hyperlink>
      <w:r>
        <w:rPr>
          <w:rFonts w:ascii="arial" w:eastAsia="arial" w:hAnsi="arial" w:cs="arial"/>
          <w:b w:val="0"/>
          <w:i w:val="0"/>
          <w:strike w:val="0"/>
          <w:noProof w:val="0"/>
          <w:color w:val="000000"/>
          <w:position w:val="0"/>
          <w:sz w:val="18"/>
          <w:u w:val="none"/>
          <w:vertAlign w:val="baseline"/>
        </w:rPr>
        <w:t xml:space="preserve"> (citing </w:t>
      </w:r>
      <w:hyperlink r:id="rId227" w:history="1">
        <w:r>
          <w:rPr>
            <w:rFonts w:ascii="arial" w:eastAsia="arial" w:hAnsi="arial" w:cs="arial"/>
            <w:b w:val="0"/>
            <w:i/>
            <w:strike w:val="0"/>
            <w:noProof w:val="0"/>
            <w:color w:val="0077CC"/>
            <w:position w:val="0"/>
            <w:sz w:val="18"/>
            <w:u w:val="single"/>
            <w:shd w:val="clear" w:color="auto" w:fill="FFFFFF"/>
            <w:vertAlign w:val="baseline"/>
          </w:rPr>
          <w:t>Daneshvar v. Chauvin, 644 F.2d 1248, 1251 (8th Cir. 1981))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Sanchez</w:t>
      </w:r>
      <w:r>
        <w:rPr>
          <w:rFonts w:ascii="arial" w:eastAsia="arial" w:hAnsi="arial" w:cs="arial"/>
          <w:b w:val="0"/>
          <w:i w:val="0"/>
          <w:strike w:val="0"/>
          <w:noProof w:val="0"/>
          <w:color w:val="000000"/>
          <w:position w:val="0"/>
          <w:sz w:val="18"/>
          <w:u w:val="none"/>
          <w:vertAlign w:val="baseline"/>
        </w:rPr>
        <w:t xml:space="preserve"> was an immediately post-AEDPA case where the court found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jurisdiction under § 2241 and applied pre-AEDPA law for the “in custody” determination.</w:t>
      </w:r>
    </w:p>
  </w:footnote>
  <w:footnote w:id="14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147 </w:t>
      </w:r>
      <w:hyperlink r:id="rId59" w:history="1">
        <w:r>
          <w:rPr>
            <w:rFonts w:ascii="arial" w:eastAsia="arial" w:hAnsi="arial" w:cs="arial"/>
            <w:b w:val="0"/>
            <w:i/>
            <w:strike w:val="0"/>
            <w:noProof w:val="0"/>
            <w:color w:val="0077CC"/>
            <w:position w:val="0"/>
            <w:sz w:val="18"/>
            <w:u w:val="single"/>
            <w:shd w:val="clear" w:color="auto" w:fill="FFFFFF"/>
            <w:vertAlign w:val="baseline"/>
          </w:rPr>
          <w:t>Subias v. Meese, 835 F.2d 1288, 1289 (9th Cir. 1987)</w:t>
        </w:r>
      </w:hyperlink>
      <w:r>
        <w:rPr>
          <w:rFonts w:ascii="arial" w:eastAsia="arial" w:hAnsi="arial" w:cs="arial"/>
          <w:b w:val="0"/>
          <w:i w:val="0"/>
          <w:strike w:val="0"/>
          <w:noProof w:val="0"/>
          <w:color w:val="000000"/>
          <w:position w:val="0"/>
          <w:sz w:val="18"/>
          <w:u w:val="none"/>
          <w:vertAlign w:val="baseline"/>
        </w:rPr>
        <w:t xml:space="preserve"> (following </w:t>
      </w:r>
      <w:hyperlink r:id="rId58" w:history="1">
        <w:r>
          <w:rPr>
            <w:rFonts w:ascii="arial" w:eastAsia="arial" w:hAnsi="arial" w:cs="arial"/>
            <w:b w:val="0"/>
            <w:i/>
            <w:strike w:val="0"/>
            <w:noProof w:val="0"/>
            <w:color w:val="0077CC"/>
            <w:position w:val="0"/>
            <w:sz w:val="18"/>
            <w:u w:val="single"/>
            <w:shd w:val="clear" w:color="auto" w:fill="FFFFFF"/>
            <w:vertAlign w:val="baseline"/>
          </w:rPr>
          <w:t>Jones v. Cunningham, 371 U.S. 236 (1963)</w:t>
        </w:r>
      </w:hyperlink>
      <w:r>
        <w:rPr>
          <w:rFonts w:ascii="arial" w:eastAsia="arial" w:hAnsi="arial" w:cs="arial"/>
          <w:b w:val="0"/>
          <w:i w:val="0"/>
          <w:strike w:val="0"/>
          <w:noProof w:val="0"/>
          <w:color w:val="000000"/>
          <w:position w:val="0"/>
          <w:sz w:val="18"/>
          <w:u w:val="none"/>
          <w:vertAlign w:val="baseline"/>
        </w:rPr>
        <w:t>, to hold that the requirement of custody is broadly construed to include restriction from entry into the United States, since denial of entry amounts to a restraint on liberty. The court went on, however, to hold that it did not have jurisdiction over the petitioner’s custodian, because his present location and custodian were unknown).</w:t>
      </w:r>
    </w:p>
  </w:footnote>
  <w:footnote w:id="1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148 </w:t>
      </w:r>
      <w:hyperlink r:id="rId228" w:history="1">
        <w:r>
          <w:rPr>
            <w:rFonts w:ascii="arial" w:eastAsia="arial" w:hAnsi="arial" w:cs="arial"/>
            <w:b w:val="0"/>
            <w:i/>
            <w:strike w:val="0"/>
            <w:noProof w:val="0"/>
            <w:color w:val="0077CC"/>
            <w:position w:val="0"/>
            <w:sz w:val="18"/>
            <w:u w:val="single"/>
            <w:shd w:val="clear" w:color="auto" w:fill="FFFFFF"/>
            <w:vertAlign w:val="baseline"/>
          </w:rPr>
          <w:t>Sibanda v. District Director United States INS, 881 F. Supp. 1494 (D. Colo. 1995)</w:t>
        </w:r>
      </w:hyperlink>
      <w:r>
        <w:rPr>
          <w:rFonts w:ascii="arial" w:eastAsia="arial" w:hAnsi="arial" w:cs="arial"/>
          <w:b w:val="0"/>
          <w:i w:val="0"/>
          <w:strike w:val="0"/>
          <w:noProof w:val="0"/>
          <w:color w:val="000000"/>
          <w:position w:val="0"/>
          <w:sz w:val="18"/>
          <w:u w:val="none"/>
          <w:vertAlign w:val="baseline"/>
        </w:rPr>
        <w:t>.</w:t>
      </w:r>
    </w:p>
  </w:footnote>
  <w:footnote w:id="14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149 </w:t>
      </w:r>
      <w:hyperlink r:id="rId229" w:history="1">
        <w:r>
          <w:rPr>
            <w:rFonts w:ascii="arial" w:eastAsia="arial" w:hAnsi="arial" w:cs="arial"/>
            <w:b w:val="0"/>
            <w:i/>
            <w:strike w:val="0"/>
            <w:noProof w:val="0"/>
            <w:color w:val="0077CC"/>
            <w:position w:val="0"/>
            <w:sz w:val="18"/>
            <w:u w:val="single"/>
            <w:shd w:val="clear" w:color="auto" w:fill="FFFFFF"/>
            <w:vertAlign w:val="baseline"/>
          </w:rPr>
          <w:t>Rumsfeld v. Padilla, 542 U.S. 426, 437 (2004)</w:t>
        </w:r>
      </w:hyperlink>
      <w:r>
        <w:rPr>
          <w:rFonts w:ascii="arial" w:eastAsia="arial" w:hAnsi="arial" w:cs="arial"/>
          <w:b w:val="0"/>
          <w:i w:val="0"/>
          <w:strike w:val="0"/>
          <w:noProof w:val="0"/>
          <w:color w:val="000000"/>
          <w:position w:val="0"/>
          <w:sz w:val="18"/>
          <w:u w:val="none"/>
          <w:vertAlign w:val="baseline"/>
        </w:rPr>
        <w:t xml:space="preserve"> (“the substantive holding of </w:t>
      </w:r>
      <w:r>
        <w:rPr>
          <w:rFonts w:ascii="arial" w:eastAsia="arial" w:hAnsi="arial" w:cs="arial"/>
          <w:b w:val="0"/>
          <w:i/>
          <w:strike w:val="0"/>
          <w:noProof w:val="0"/>
          <w:color w:val="000000"/>
          <w:position w:val="0"/>
          <w:sz w:val="18"/>
          <w:u w:val="none"/>
          <w:vertAlign w:val="baseline"/>
        </w:rPr>
        <w:t>Wales</w:t>
      </w:r>
      <w:r>
        <w:rPr>
          <w:rFonts w:ascii="arial" w:eastAsia="arial" w:hAnsi="arial" w:cs="arial"/>
          <w:b w:val="0"/>
          <w:i w:val="0"/>
          <w:strike w:val="0"/>
          <w:noProof w:val="0"/>
          <w:color w:val="000000"/>
          <w:position w:val="0"/>
          <w:sz w:val="18"/>
          <w:u w:val="none"/>
          <w:vertAlign w:val="baseline"/>
        </w:rPr>
        <w:t xml:space="preserve">—that a person released on his own recognizance is not ‘in custody’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purposes—was disapproved in </w:t>
      </w:r>
      <w:hyperlink r:id="rId212" w:history="1">
        <w:r>
          <w:rPr>
            <w:rFonts w:ascii="arial" w:eastAsia="arial" w:hAnsi="arial" w:cs="arial"/>
            <w:b w:val="0"/>
            <w:i/>
            <w:strike w:val="0"/>
            <w:noProof w:val="0"/>
            <w:color w:val="0077CC"/>
            <w:position w:val="0"/>
            <w:sz w:val="18"/>
            <w:u w:val="single"/>
            <w:shd w:val="clear" w:color="auto" w:fill="FFFFFF"/>
            <w:vertAlign w:val="baseline"/>
          </w:rPr>
          <w:t>Hensley</w:t>
        </w:r>
      </w:hyperlink>
      <w:hyperlink r:id="rId212"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12" w:history="1">
        <w:r>
          <w:rPr>
            <w:rFonts w:ascii="arial" w:eastAsia="arial" w:hAnsi="arial" w:cs="arial"/>
            <w:b w:val="0"/>
            <w:i/>
            <w:strike w:val="0"/>
            <w:noProof w:val="0"/>
            <w:color w:val="0077CC"/>
            <w:position w:val="0"/>
            <w:sz w:val="18"/>
            <w:u w:val="single"/>
            <w:shd w:val="clear" w:color="auto" w:fill="FFFFFF"/>
            <w:vertAlign w:val="baseline"/>
          </w:rPr>
          <w:t>Municipal Court, San Jose-Milpitas Judicial Dist., Santa Clara Cty.</w:t>
        </w:r>
      </w:hyperlink>
      <w:hyperlink r:id="rId212" w:history="1">
        <w:r>
          <w:rPr>
            <w:rFonts w:ascii="arial" w:eastAsia="arial" w:hAnsi="arial" w:cs="arial"/>
            <w:b w:val="0"/>
            <w:i/>
            <w:strike w:val="0"/>
            <w:noProof w:val="0"/>
            <w:color w:val="0077CC"/>
            <w:position w:val="0"/>
            <w:sz w:val="18"/>
            <w:u w:val="single"/>
            <w:shd w:val="clear" w:color="auto" w:fill="FFFFFF"/>
            <w:vertAlign w:val="baseline"/>
          </w:rPr>
          <w:t>, 411 U.S. 345, 350, n. 8, 93 S. Ct. 1571, 36 L. Ed. 2d 294 (1973)</w:t>
        </w:r>
      </w:hyperlink>
      <w:r>
        <w:rPr>
          <w:rFonts w:ascii="arial" w:eastAsia="arial" w:hAnsi="arial" w:cs="arial"/>
          <w:b w:val="0"/>
          <w:i w:val="0"/>
          <w:strike w:val="0"/>
          <w:noProof w:val="0"/>
          <w:color w:val="000000"/>
          <w:position w:val="0"/>
          <w:sz w:val="18"/>
          <w:u w:val="none"/>
          <w:vertAlign w:val="baseline"/>
        </w:rPr>
        <w:t xml:space="preserve">, as part of this Court’s expanding definition of ‘custody’ under 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statute.” (footnote omitted)).</w:t>
      </w:r>
    </w:p>
  </w:footnote>
  <w:footnote w:id="1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150 </w:t>
      </w:r>
      <w:hyperlink r:id="rId230" w:history="1">
        <w:r>
          <w:rPr>
            <w:rFonts w:ascii="arial" w:eastAsia="arial" w:hAnsi="arial" w:cs="arial"/>
            <w:b w:val="0"/>
            <w:i/>
            <w:strike w:val="0"/>
            <w:noProof w:val="0"/>
            <w:color w:val="0077CC"/>
            <w:position w:val="0"/>
            <w:sz w:val="18"/>
            <w:u w:val="single"/>
            <w:shd w:val="clear" w:color="auto" w:fill="FFFFFF"/>
            <w:vertAlign w:val="baseline"/>
          </w:rPr>
          <w:t>Rosales v. ICE, 426 F.3d 733 (5th Cir. 2005)</w:t>
        </w:r>
      </w:hyperlink>
      <w:r>
        <w:rPr>
          <w:rFonts w:ascii="arial" w:eastAsia="arial" w:hAnsi="arial" w:cs="arial"/>
          <w:b w:val="0"/>
          <w:i w:val="0"/>
          <w:strike w:val="0"/>
          <w:noProof w:val="0"/>
          <w:color w:val="000000"/>
          <w:position w:val="0"/>
          <w:sz w:val="18"/>
          <w:u w:val="none"/>
          <w:vertAlign w:val="baseline"/>
        </w:rPr>
        <w:t xml:space="preserve"> (citing </w:t>
      </w:r>
      <w:hyperlink r:id="rId231" w:history="1">
        <w:r>
          <w:rPr>
            <w:rFonts w:ascii="arial" w:eastAsia="arial" w:hAnsi="arial" w:cs="arial"/>
            <w:b w:val="0"/>
            <w:i/>
            <w:strike w:val="0"/>
            <w:noProof w:val="0"/>
            <w:color w:val="0077CC"/>
            <w:position w:val="0"/>
            <w:sz w:val="18"/>
            <w:u w:val="single"/>
            <w:shd w:val="clear" w:color="auto" w:fill="FFFFFF"/>
            <w:vertAlign w:val="baseline"/>
          </w:rPr>
          <w:t>Rumsfeld</w:t>
        </w:r>
      </w:hyperlink>
      <w:hyperlink r:id="rId231" w:history="1">
        <w:r>
          <w:rPr>
            <w:rFonts w:ascii="arial" w:eastAsia="arial" w:hAnsi="arial" w:cs="arial"/>
            <w:b w:val="0"/>
            <w:i/>
            <w:strike w:val="0"/>
            <w:noProof w:val="0"/>
            <w:color w:val="0077CC"/>
            <w:position w:val="0"/>
            <w:sz w:val="18"/>
            <w:u w:val="single"/>
            <w:shd w:val="clear" w:color="auto" w:fill="FFFFFF"/>
            <w:vertAlign w:val="baseline"/>
          </w:rPr>
          <w:t xml:space="preserve"> and Simmonds v. INS, 326 F.3d 351, 354 (2d Cir. 2003))</w:t>
        </w:r>
      </w:hyperlink>
      <w:r>
        <w:rPr>
          <w:rFonts w:ascii="arial" w:eastAsia="arial" w:hAnsi="arial" w:cs="arial"/>
          <w:b w:val="0"/>
          <w:i w:val="0"/>
          <w:strike w:val="0"/>
          <w:noProof w:val="0"/>
          <w:color w:val="000000"/>
          <w:position w:val="0"/>
          <w:sz w:val="18"/>
          <w:u w:val="none"/>
          <w:vertAlign w:val="baseline"/>
        </w:rPr>
        <w:t xml:space="preserve">; </w:t>
      </w:r>
      <w:hyperlink r:id="rId232" w:history="1">
        <w:r>
          <w:rPr>
            <w:rFonts w:ascii="arial" w:eastAsia="arial" w:hAnsi="arial" w:cs="arial"/>
            <w:b w:val="0"/>
            <w:i/>
            <w:strike w:val="0"/>
            <w:noProof w:val="0"/>
            <w:color w:val="0077CC"/>
            <w:position w:val="0"/>
            <w:sz w:val="18"/>
            <w:u w:val="single"/>
            <w:shd w:val="clear" w:color="auto" w:fill="FFFFFF"/>
            <w:vertAlign w:val="baseline"/>
          </w:rPr>
          <w:t>Aguilera v. Kirkpatrick, 241 F.3d 1286, 1291 (10th Cir. 2001)</w:t>
        </w:r>
      </w:hyperlink>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Mustata v. United States DOJ, 179 F.3d 1017, 1021 n.4 (6th Cir. 1999)</w:t>
        </w:r>
      </w:hyperlink>
      <w:r>
        <w:rPr>
          <w:rFonts w:ascii="arial" w:eastAsia="arial" w:hAnsi="arial" w:cs="arial"/>
          <w:b w:val="0"/>
          <w:i w:val="0"/>
          <w:strike w:val="0"/>
          <w:noProof w:val="0"/>
          <w:color w:val="000000"/>
          <w:position w:val="0"/>
          <w:sz w:val="18"/>
          <w:u w:val="none"/>
          <w:vertAlign w:val="baseline"/>
        </w:rPr>
        <w:t xml:space="preserve">; </w:t>
      </w:r>
      <w:hyperlink r:id="rId221" w:history="1">
        <w:r>
          <w:rPr>
            <w:rFonts w:ascii="arial" w:eastAsia="arial" w:hAnsi="arial" w:cs="arial"/>
            <w:b w:val="0"/>
            <w:i/>
            <w:strike w:val="0"/>
            <w:noProof w:val="0"/>
            <w:color w:val="0077CC"/>
            <w:position w:val="0"/>
            <w:sz w:val="18"/>
            <w:u w:val="single"/>
            <w:shd w:val="clear" w:color="auto" w:fill="FFFFFF"/>
            <w:vertAlign w:val="baseline"/>
          </w:rPr>
          <w:t>Nakaranurack v. United States, 68 F.3d 290, 293 (9th Cir. 1995)</w:t>
        </w:r>
      </w:hyperlink>
      <w:r>
        <w:rPr>
          <w:rFonts w:ascii="arial" w:eastAsia="arial" w:hAnsi="arial" w:cs="arial"/>
          <w:b w:val="0"/>
          <w:i w:val="0"/>
          <w:strike w:val="0"/>
          <w:noProof w:val="0"/>
          <w:color w:val="000000"/>
          <w:position w:val="0"/>
          <w:sz w:val="18"/>
          <w:u w:val="none"/>
          <w:vertAlign w:val="baseline"/>
        </w:rPr>
        <w:t>.</w:t>
      </w:r>
    </w:p>
  </w:footnote>
  <w:footnote w:id="1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151 </w:t>
      </w:r>
      <w:hyperlink r:id="rId215" w:history="1">
        <w:r>
          <w:rPr>
            <w:rFonts w:ascii="arial" w:eastAsia="arial" w:hAnsi="arial" w:cs="arial"/>
            <w:b w:val="0"/>
            <w:i/>
            <w:strike w:val="0"/>
            <w:noProof w:val="0"/>
            <w:color w:val="0077CC"/>
            <w:position w:val="0"/>
            <w:sz w:val="18"/>
            <w:u w:val="single"/>
            <w:shd w:val="clear" w:color="auto" w:fill="FFFFFF"/>
            <w:vertAlign w:val="baseline"/>
          </w:rPr>
          <w:t>Duran v. Reno, 193 F.3d 82, 84 (2d Cir. 1999)</w:t>
        </w:r>
      </w:hyperlink>
      <w:r>
        <w:rPr>
          <w:rFonts w:ascii="arial" w:eastAsia="arial" w:hAnsi="arial" w:cs="arial"/>
          <w:b w:val="0"/>
          <w:i w:val="0"/>
          <w:strike w:val="0"/>
          <w:noProof w:val="0"/>
          <w:color w:val="000000"/>
          <w:position w:val="0"/>
          <w:sz w:val="18"/>
          <w:u w:val="none"/>
          <w:vertAlign w:val="baseline"/>
        </w:rPr>
        <w:t xml:space="preserve"> (citing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124 (2d Cir. 1998))</w:t>
        </w:r>
      </w:hyperlink>
      <w:r>
        <w:rPr>
          <w:rFonts w:ascii="arial" w:eastAsia="arial" w:hAnsi="arial" w:cs="arial"/>
          <w:b w:val="0"/>
          <w:i w:val="0"/>
          <w:strike w:val="0"/>
          <w:noProof w:val="0"/>
          <w:color w:val="000000"/>
          <w:position w:val="0"/>
          <w:sz w:val="18"/>
          <w:u w:val="none"/>
          <w:vertAlign w:val="baseline"/>
        </w:rPr>
        <w:t xml:space="preserve"> (noting that the concept of “in custody”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purposes has broadened in recent years and that “the rules treating the immediate custodian as the only proper respondent have not been applied consistently or in a rigid fashion”); </w:t>
      </w:r>
      <w:hyperlink r:id="rId234" w:history="1">
        <w:r>
          <w:rPr>
            <w:rFonts w:ascii="arial" w:eastAsia="arial" w:hAnsi="arial" w:cs="arial"/>
            <w:b w:val="0"/>
            <w:i/>
            <w:strike w:val="0"/>
            <w:noProof w:val="0"/>
            <w:color w:val="0077CC"/>
            <w:position w:val="0"/>
            <w:sz w:val="18"/>
            <w:u w:val="single"/>
            <w:shd w:val="clear" w:color="auto" w:fill="FFFFFF"/>
            <w:vertAlign w:val="baseline"/>
          </w:rPr>
          <w:t>Waldron v. INS, 17 F.3d 511, 516 (2d Cir. 1994)</w:t>
        </w:r>
      </w:hyperlink>
      <w:r>
        <w:rPr>
          <w:rFonts w:ascii="arial" w:eastAsia="arial" w:hAnsi="arial" w:cs="arial"/>
          <w:b w:val="0"/>
          <w:i w:val="0"/>
          <w:strike w:val="0"/>
          <w:noProof w:val="0"/>
          <w:color w:val="000000"/>
          <w:position w:val="0"/>
          <w:sz w:val="18"/>
          <w:u w:val="none"/>
          <w:vertAlign w:val="baseline"/>
        </w:rPr>
        <w:t>.</w:t>
      </w:r>
    </w:p>
  </w:footnote>
  <w:footnote w:id="1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152 </w:t>
      </w:r>
      <w:r>
        <w:rPr>
          <w:rFonts w:ascii="arial" w:eastAsia="arial" w:hAnsi="arial" w:cs="arial"/>
          <w:b/>
          <w:i/>
          <w:strike w:val="0"/>
          <w:noProof w:val="0"/>
          <w:color w:val="000000"/>
          <w:position w:val="0"/>
          <w:sz w:val="18"/>
          <w:u w:val="none"/>
          <w:vertAlign w:val="baseline"/>
        </w:rPr>
        <w:t>Prieto v. Gluch, 913 F.2d 1159, 1162–64 (6th Cir. 1990)</w:t>
      </w:r>
      <w:r>
        <w:rPr>
          <w:rFonts w:ascii="arial" w:eastAsia="arial" w:hAnsi="arial" w:cs="arial"/>
          <w:b w:val="0"/>
          <w:i w:val="0"/>
          <w:strike w:val="0"/>
          <w:noProof w:val="0"/>
          <w:color w:val="000000"/>
          <w:position w:val="0"/>
          <w:sz w:val="18"/>
          <w:u w:val="none"/>
          <w:vertAlign w:val="baseline"/>
        </w:rPr>
        <w:t xml:space="preserve">; </w:t>
      </w:r>
      <w:hyperlink r:id="rId235" w:history="1">
        <w:r>
          <w:rPr>
            <w:rFonts w:ascii="arial" w:eastAsia="arial" w:hAnsi="arial" w:cs="arial"/>
            <w:b w:val="0"/>
            <w:i/>
            <w:strike w:val="0"/>
            <w:noProof w:val="0"/>
            <w:color w:val="0077CC"/>
            <w:position w:val="0"/>
            <w:sz w:val="18"/>
            <w:u w:val="single"/>
            <w:shd w:val="clear" w:color="auto" w:fill="FFFFFF"/>
            <w:vertAlign w:val="baseline"/>
          </w:rPr>
          <w:t>Orozco v. INS, 911 F.2d 539, 541 (11th Cir. 1990)</w:t>
        </w:r>
      </w:hyperlink>
      <w:r>
        <w:rPr>
          <w:rFonts w:ascii="arial" w:eastAsia="arial" w:hAnsi="arial" w:cs="arial"/>
          <w:b w:val="0"/>
          <w:i w:val="0"/>
          <w:strike w:val="0"/>
          <w:noProof w:val="0"/>
          <w:color w:val="000000"/>
          <w:position w:val="0"/>
          <w:sz w:val="18"/>
          <w:u w:val="none"/>
          <w:vertAlign w:val="baseline"/>
        </w:rPr>
        <w:t xml:space="preserve">; </w:t>
      </w:r>
      <w:hyperlink r:id="rId236" w:history="1">
        <w:r>
          <w:rPr>
            <w:rFonts w:ascii="arial" w:eastAsia="arial" w:hAnsi="arial" w:cs="arial"/>
            <w:b w:val="0"/>
            <w:i/>
            <w:strike w:val="0"/>
            <w:noProof w:val="0"/>
            <w:color w:val="0077CC"/>
            <w:position w:val="0"/>
            <w:sz w:val="18"/>
            <w:u w:val="single"/>
            <w:shd w:val="clear" w:color="auto" w:fill="FFFFFF"/>
            <w:vertAlign w:val="baseline"/>
          </w:rPr>
          <w:t>Campillo v. Sullivan, 853 F.2d 593, 595 (8th Cir. 1988)</w:t>
        </w:r>
      </w:hyperlink>
      <w:r>
        <w:rPr>
          <w:rFonts w:ascii="arial" w:eastAsia="arial" w:hAnsi="arial" w:cs="arial"/>
          <w:b w:val="0"/>
          <w:i w:val="0"/>
          <w:strike w:val="0"/>
          <w:noProof w:val="0"/>
          <w:color w:val="000000"/>
          <w:position w:val="0"/>
          <w:sz w:val="18"/>
          <w:u w:val="none"/>
          <w:vertAlign w:val="baseline"/>
        </w:rPr>
        <w:t xml:space="preserve">; </w:t>
      </w:r>
      <w:hyperlink r:id="rId211" w:history="1">
        <w:r>
          <w:rPr>
            <w:rFonts w:ascii="arial" w:eastAsia="arial" w:hAnsi="arial" w:cs="arial"/>
            <w:b w:val="0"/>
            <w:i/>
            <w:strike w:val="0"/>
            <w:noProof w:val="0"/>
            <w:color w:val="0077CC"/>
            <w:position w:val="0"/>
            <w:sz w:val="18"/>
            <w:u w:val="single"/>
            <w:shd w:val="clear" w:color="auto" w:fill="FFFFFF"/>
            <w:vertAlign w:val="baseline"/>
          </w:rPr>
          <w:t>Deutsch v. United States, 943 F. Supp. 276, 278–9 (W.D.N.Y. 1996)</w:t>
        </w:r>
      </w:hyperlink>
      <w:r>
        <w:rPr>
          <w:rFonts w:ascii="arial" w:eastAsia="arial" w:hAnsi="arial" w:cs="arial"/>
          <w:b w:val="0"/>
          <w:i w:val="0"/>
          <w:strike w:val="0"/>
          <w:noProof w:val="0"/>
          <w:color w:val="000000"/>
          <w:position w:val="0"/>
          <w:sz w:val="18"/>
          <w:u w:val="none"/>
          <w:vertAlign w:val="baseline"/>
        </w:rPr>
        <w:t xml:space="preserve"> (collecting district court cases within the Second Circuit).</w:t>
      </w:r>
    </w:p>
  </w:footnote>
  <w:footnote w:id="1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37" w:history="1">
        <w:r>
          <w:rPr>
            <w:rFonts w:ascii="arial" w:eastAsia="arial" w:hAnsi="arial" w:cs="arial"/>
            <w:b w:val="0"/>
            <w:i/>
            <w:strike w:val="0"/>
            <w:noProof w:val="0"/>
            <w:color w:val="0077CC"/>
            <w:position w:val="0"/>
            <w:sz w:val="18"/>
            <w:u w:val="single"/>
            <w:shd w:val="clear" w:color="auto" w:fill="FFFFFF"/>
            <w:vertAlign w:val="baseline"/>
          </w:rPr>
          <w:t>Roldan v. Racette, 984 F.2d 85, 88 (2d Cir. 1993)</w:t>
        </w:r>
      </w:hyperlink>
      <w:r>
        <w:rPr>
          <w:rFonts w:ascii="arial" w:eastAsia="arial" w:hAnsi="arial" w:cs="arial"/>
          <w:b w:val="0"/>
          <w:i w:val="0"/>
          <w:strike w:val="0"/>
          <w:noProof w:val="0"/>
          <w:color w:val="000000"/>
          <w:position w:val="0"/>
          <w:sz w:val="18"/>
          <w:u w:val="none"/>
          <w:vertAlign w:val="baseline"/>
        </w:rPr>
        <w:t xml:space="preserve"> (collecting cases stating to the contrary, that the filing of an INS detainer results in “technical custody”).</w:t>
      </w:r>
    </w:p>
  </w:footnote>
  <w:footnote w:id="1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154 </w:t>
      </w:r>
      <w:hyperlink r:id="rId211" w:history="1">
        <w:r>
          <w:rPr>
            <w:rFonts w:ascii="arial" w:eastAsia="arial" w:hAnsi="arial" w:cs="arial"/>
            <w:b w:val="0"/>
            <w:i/>
            <w:strike w:val="0"/>
            <w:noProof w:val="0"/>
            <w:color w:val="0077CC"/>
            <w:position w:val="0"/>
            <w:sz w:val="18"/>
            <w:u w:val="single"/>
            <w:shd w:val="clear" w:color="auto" w:fill="FFFFFF"/>
            <w:vertAlign w:val="baseline"/>
          </w:rPr>
          <w:t>Deutsch v. United States, 943 F. Supp. 276, 279 (W.D.N.Y. 1996)</w:t>
        </w:r>
      </w:hyperlink>
      <w:r>
        <w:rPr>
          <w:rFonts w:ascii="arial" w:eastAsia="arial" w:hAnsi="arial" w:cs="arial"/>
          <w:b w:val="0"/>
          <w:i w:val="0"/>
          <w:strike w:val="0"/>
          <w:noProof w:val="0"/>
          <w:color w:val="000000"/>
          <w:position w:val="0"/>
          <w:sz w:val="18"/>
          <w:u w:val="none"/>
          <w:vertAlign w:val="baseline"/>
        </w:rPr>
        <w:t xml:space="preserve"> (citing </w:t>
      </w:r>
      <w:hyperlink r:id="rId237" w:history="1">
        <w:r>
          <w:rPr>
            <w:rFonts w:ascii="arial" w:eastAsia="arial" w:hAnsi="arial" w:cs="arial"/>
            <w:b w:val="0"/>
            <w:i/>
            <w:strike w:val="0"/>
            <w:noProof w:val="0"/>
            <w:color w:val="0077CC"/>
            <w:position w:val="0"/>
            <w:sz w:val="18"/>
            <w:u w:val="single"/>
            <w:shd w:val="clear" w:color="auto" w:fill="FFFFFF"/>
            <w:vertAlign w:val="baseline"/>
          </w:rPr>
          <w:t>Roldan v. Racette, 984 F.2d 85, 86–88 (2d Cir. 1993))</w:t>
        </w:r>
      </w:hyperlink>
      <w:r>
        <w:rPr>
          <w:rFonts w:ascii="arial" w:eastAsia="arial" w:hAnsi="arial" w:cs="arial"/>
          <w:b w:val="0"/>
          <w:i w:val="0"/>
          <w:strike w:val="0"/>
          <w:noProof w:val="0"/>
          <w:color w:val="000000"/>
          <w:position w:val="0"/>
          <w:sz w:val="18"/>
          <w:u w:val="none"/>
          <w:vertAlign w:val="baseline"/>
        </w:rPr>
        <w:t xml:space="preserve">; </w:t>
      </w:r>
      <w:hyperlink r:id="rId238" w:history="1">
        <w:r>
          <w:rPr>
            <w:rFonts w:ascii="arial" w:eastAsia="arial" w:hAnsi="arial" w:cs="arial"/>
            <w:b w:val="0"/>
            <w:i/>
            <w:strike w:val="0"/>
            <w:noProof w:val="0"/>
            <w:color w:val="0077CC"/>
            <w:position w:val="0"/>
            <w:sz w:val="18"/>
            <w:u w:val="single"/>
            <w:shd w:val="clear" w:color="auto" w:fill="FFFFFF"/>
            <w:vertAlign w:val="baseline"/>
          </w:rPr>
          <w:t>Cruz v. Molerio, 840 F. Supp. 303, 304–05 (S.D.N.Y. 1994)</w:t>
        </w:r>
      </w:hyperlink>
      <w:r>
        <w:rPr>
          <w:rFonts w:ascii="arial" w:eastAsia="arial" w:hAnsi="arial" w:cs="arial"/>
          <w:b w:val="0"/>
          <w:i w:val="0"/>
          <w:strike w:val="0"/>
          <w:noProof w:val="0"/>
          <w:color w:val="000000"/>
          <w:position w:val="0"/>
          <w:sz w:val="18"/>
          <w:u w:val="none"/>
          <w:vertAlign w:val="baseline"/>
        </w:rPr>
        <w:t xml:space="preserve">; </w:t>
      </w:r>
      <w:hyperlink r:id="rId239" w:history="1">
        <w:r>
          <w:rPr>
            <w:rFonts w:ascii="arial" w:eastAsia="arial" w:hAnsi="arial" w:cs="arial"/>
            <w:b w:val="0"/>
            <w:i/>
            <w:strike w:val="0"/>
            <w:noProof w:val="0"/>
            <w:color w:val="0077CC"/>
            <w:position w:val="0"/>
            <w:sz w:val="18"/>
            <w:u w:val="single"/>
            <w:shd w:val="clear" w:color="auto" w:fill="FFFFFF"/>
            <w:vertAlign w:val="baseline"/>
          </w:rPr>
          <w:t>Severino v. Thornburgh, 778 F. Supp. 5, 7 (S.D.N.Y. 1991)</w:t>
        </w:r>
      </w:hyperlink>
      <w:r>
        <w:rPr>
          <w:rFonts w:ascii="arial" w:eastAsia="arial" w:hAnsi="arial" w:cs="arial"/>
          <w:b w:val="0"/>
          <w:i w:val="0"/>
          <w:strike w:val="0"/>
          <w:noProof w:val="0"/>
          <w:color w:val="000000"/>
          <w:position w:val="0"/>
          <w:sz w:val="18"/>
          <w:u w:val="none"/>
          <w:vertAlign w:val="baseline"/>
        </w:rPr>
        <w:t>.</w:t>
      </w:r>
    </w:p>
  </w:footnote>
  <w:footnote w:id="1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155 </w:t>
      </w:r>
      <w:hyperlink r:id="rId47" w:history="1">
        <w:r>
          <w:rPr>
            <w:rFonts w:ascii="arial" w:eastAsia="arial" w:hAnsi="arial" w:cs="arial"/>
            <w:b w:val="0"/>
            <w:i/>
            <w:strike w:val="0"/>
            <w:noProof w:val="0"/>
            <w:color w:val="0077CC"/>
            <w:position w:val="0"/>
            <w:sz w:val="18"/>
            <w:u w:val="single"/>
            <w:shd w:val="clear" w:color="auto" w:fill="FFFFFF"/>
            <w:vertAlign w:val="baseline"/>
          </w:rPr>
          <w:t>Galaviz-Medina v. Wooten, 27 F.3d 487, 493 (10th Cir. 1994)</w:t>
        </w:r>
      </w:hyperlink>
      <w:r>
        <w:rPr>
          <w:rFonts w:ascii="arial" w:eastAsia="arial" w:hAnsi="arial" w:cs="arial"/>
          <w:b w:val="0"/>
          <w:i w:val="0"/>
          <w:strike w:val="0"/>
          <w:noProof w:val="0"/>
          <w:color w:val="000000"/>
          <w:position w:val="0"/>
          <w:sz w:val="18"/>
          <w:u w:val="none"/>
          <w:vertAlign w:val="baseline"/>
        </w:rPr>
        <w:t xml:space="preserve"> (citing </w:t>
      </w:r>
      <w:hyperlink r:id="rId223" w:history="1">
        <w:r>
          <w:rPr>
            <w:rFonts w:ascii="arial" w:eastAsia="arial" w:hAnsi="arial" w:cs="arial"/>
            <w:b w:val="0"/>
            <w:i/>
            <w:strike w:val="0"/>
            <w:noProof w:val="0"/>
            <w:color w:val="0077CC"/>
            <w:position w:val="0"/>
            <w:sz w:val="18"/>
            <w:u w:val="single"/>
            <w:shd w:val="clear" w:color="auto" w:fill="FFFFFF"/>
            <w:vertAlign w:val="baseline"/>
          </w:rPr>
          <w:t>Salehi v. District Director, 796 F.2d 1286, 1289 n.5 (10th Cir. 1986)</w:t>
        </w:r>
      </w:hyperlink>
      <w:r>
        <w:rPr>
          <w:rFonts w:ascii="arial" w:eastAsia="arial" w:hAnsi="arial" w:cs="arial"/>
          <w:b w:val="0"/>
          <w:i w:val="0"/>
          <w:strike w:val="0"/>
          <w:noProof w:val="0"/>
          <w:color w:val="000000"/>
          <w:position w:val="0"/>
          <w:sz w:val="18"/>
          <w:u w:val="none"/>
          <w:vertAlign w:val="baseline"/>
        </w:rPr>
        <w:t xml:space="preserve"> (custody requirement satisfied where noncitizens were released under injunction)); </w:t>
      </w:r>
      <w:hyperlink r:id="rId48" w:history="1">
        <w:r>
          <w:rPr>
            <w:rFonts w:ascii="arial" w:eastAsia="arial" w:hAnsi="arial" w:cs="arial"/>
            <w:b w:val="0"/>
            <w:i/>
            <w:strike w:val="0"/>
            <w:noProof w:val="0"/>
            <w:color w:val="0077CC"/>
            <w:position w:val="0"/>
            <w:sz w:val="18"/>
            <w:u w:val="single"/>
            <w:shd w:val="clear" w:color="auto" w:fill="FFFFFF"/>
            <w:vertAlign w:val="baseline"/>
          </w:rPr>
          <w:t>Williams v. INS, 795 F.2d 738, 740–41, 744</w:t>
        </w:r>
      </w:hyperlink>
      <w:r>
        <w:rPr>
          <w:rFonts w:ascii="arial" w:eastAsia="arial" w:hAnsi="arial" w:cs="arial"/>
          <w:b w:val="0"/>
          <w:i w:val="0"/>
          <w:strike w:val="0"/>
          <w:noProof w:val="0"/>
          <w:color w:val="000000"/>
          <w:position w:val="0"/>
          <w:sz w:val="18"/>
          <w:u w:val="none"/>
          <w:vertAlign w:val="baseline"/>
        </w:rPr>
        <w:t xml:space="preserve"> &amp; n.3 (9th Cir. 1986) (citing this treatise) (finding petitioner in custody where he was under final deportation order, but obtained voluntary-departure order).</w:t>
      </w:r>
    </w:p>
  </w:footnote>
  <w:footnote w:id="1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156 </w:t>
      </w:r>
      <w:hyperlink r:id="rId240" w:history="1">
        <w:r>
          <w:rPr>
            <w:rFonts w:ascii="arial" w:eastAsia="arial" w:hAnsi="arial" w:cs="arial"/>
            <w:b w:val="0"/>
            <w:i/>
            <w:strike w:val="0"/>
            <w:noProof w:val="0"/>
            <w:color w:val="0077CC"/>
            <w:position w:val="0"/>
            <w:sz w:val="18"/>
            <w:u w:val="single"/>
            <w:shd w:val="clear" w:color="auto" w:fill="FFFFFF"/>
            <w:vertAlign w:val="baseline"/>
          </w:rPr>
          <w:t>Vargas v. Swan, 854 F.2d 1028, 1032–33 (7th Cir. 1988)</w:t>
        </w:r>
      </w:hyperlink>
      <w:r>
        <w:rPr>
          <w:rFonts w:ascii="arial" w:eastAsia="arial" w:hAnsi="arial" w:cs="arial"/>
          <w:b w:val="0"/>
          <w:i w:val="0"/>
          <w:strike w:val="0"/>
          <w:noProof w:val="0"/>
          <w:color w:val="000000"/>
          <w:position w:val="0"/>
          <w:sz w:val="18"/>
          <w:u w:val="none"/>
          <w:vertAlign w:val="baseline"/>
        </w:rPr>
        <w:t>.</w:t>
      </w:r>
    </w:p>
  </w:footnote>
  <w:footnote w:id="1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157 </w:t>
      </w:r>
      <w:hyperlink r:id="rId241" w:history="1">
        <w:r>
          <w:rPr>
            <w:rFonts w:ascii="arial" w:eastAsia="arial" w:hAnsi="arial" w:cs="arial"/>
            <w:b w:val="0"/>
            <w:i/>
            <w:strike w:val="0"/>
            <w:noProof w:val="0"/>
            <w:color w:val="0077CC"/>
            <w:position w:val="0"/>
            <w:sz w:val="18"/>
            <w:u w:val="single"/>
            <w:shd w:val="clear" w:color="auto" w:fill="FFFFFF"/>
            <w:vertAlign w:val="baseline"/>
          </w:rPr>
          <w:t>Then v. INS, 58 F. Supp. 2d 422, 429 (D.N.J. 1999)</w:t>
        </w:r>
      </w:hyperlink>
      <w:r>
        <w:rPr>
          <w:rFonts w:ascii="arial" w:eastAsia="arial" w:hAnsi="arial" w:cs="arial"/>
          <w:b w:val="0"/>
          <w:i w:val="0"/>
          <w:strike w:val="0"/>
          <w:noProof w:val="0"/>
          <w:color w:val="000000"/>
          <w:position w:val="0"/>
          <w:sz w:val="18"/>
          <w:u w:val="none"/>
          <w:vertAlign w:val="baseline"/>
        </w:rPr>
        <w:t xml:space="preserve"> (citing, </w:t>
      </w:r>
      <w:r>
        <w:rPr>
          <w:rFonts w:ascii="arial" w:eastAsia="arial" w:hAnsi="arial" w:cs="arial"/>
          <w:b w:val="0"/>
          <w:i/>
          <w:strike w:val="0"/>
          <w:noProof w:val="0"/>
          <w:color w:val="000000"/>
          <w:position w:val="0"/>
          <w:sz w:val="18"/>
          <w:u w:val="none"/>
          <w:vertAlign w:val="baseline"/>
        </w:rPr>
        <w:t>inter alia</w:t>
      </w:r>
      <w:r>
        <w:rPr>
          <w:rFonts w:ascii="arial" w:eastAsia="arial" w:hAnsi="arial" w:cs="arial"/>
          <w:b w:val="0"/>
          <w:i w:val="0"/>
          <w:strike w:val="0"/>
          <w:noProof w:val="0"/>
          <w:color w:val="000000"/>
          <w:position w:val="0"/>
          <w:sz w:val="18"/>
          <w:u w:val="none"/>
          <w:vertAlign w:val="baseline"/>
        </w:rPr>
        <w:t xml:space="preserve">, </w:t>
      </w:r>
      <w:hyperlink r:id="rId221" w:history="1">
        <w:r>
          <w:rPr>
            <w:rFonts w:ascii="arial" w:eastAsia="arial" w:hAnsi="arial" w:cs="arial"/>
            <w:b w:val="0"/>
            <w:i/>
            <w:strike w:val="0"/>
            <w:noProof w:val="0"/>
            <w:color w:val="0077CC"/>
            <w:position w:val="0"/>
            <w:sz w:val="18"/>
            <w:u w:val="single"/>
            <w:shd w:val="clear" w:color="auto" w:fill="FFFFFF"/>
            <w:vertAlign w:val="baseline"/>
          </w:rPr>
          <w:t>Nakaranurack v. United States, 68 F.3d 290, 293 (9th Cir. 1995)</w:t>
        </w:r>
      </w:hyperlink>
      <w:r>
        <w:rPr>
          <w:rFonts w:ascii="arial" w:eastAsia="arial" w:hAnsi="arial" w:cs="arial"/>
          <w:b w:val="0"/>
          <w:i w:val="0"/>
          <w:strike w:val="0"/>
          <w:noProof w:val="0"/>
          <w:color w:val="000000"/>
          <w:position w:val="0"/>
          <w:sz w:val="18"/>
          <w:u w:val="none"/>
          <w:vertAlign w:val="baseline"/>
        </w:rPr>
        <w:t xml:space="preserve">, and </w:t>
      </w:r>
      <w:hyperlink r:id="rId47" w:history="1">
        <w:r>
          <w:rPr>
            <w:rFonts w:ascii="arial" w:eastAsia="arial" w:hAnsi="arial" w:cs="arial"/>
            <w:b w:val="0"/>
            <w:i/>
            <w:strike w:val="0"/>
            <w:noProof w:val="0"/>
            <w:color w:val="0077CC"/>
            <w:position w:val="0"/>
            <w:sz w:val="18"/>
            <w:u w:val="single"/>
            <w:shd w:val="clear" w:color="auto" w:fill="FFFFFF"/>
            <w:vertAlign w:val="baseline"/>
          </w:rPr>
          <w:t>Galaviz-Medina v. Wooten, 27 F.3d 487, 493 (10th Cir. 1994))</w:t>
        </w:r>
      </w:hyperlink>
      <w:r>
        <w:rPr>
          <w:rFonts w:ascii="arial" w:eastAsia="arial" w:hAnsi="arial" w:cs="arial"/>
          <w:b w:val="0"/>
          <w:i w:val="0"/>
          <w:strike w:val="0"/>
          <w:noProof w:val="0"/>
          <w:color w:val="000000"/>
          <w:position w:val="0"/>
          <w:sz w:val="18"/>
          <w:u w:val="none"/>
          <w:vertAlign w:val="baseline"/>
        </w:rPr>
        <w:t>.</w:t>
      </w:r>
    </w:p>
  </w:footnote>
  <w:footnote w:id="15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158 </w:t>
      </w:r>
      <w:hyperlink r:id="rId231" w:history="1">
        <w:r>
          <w:rPr>
            <w:rFonts w:ascii="arial" w:eastAsia="arial" w:hAnsi="arial" w:cs="arial"/>
            <w:b w:val="0"/>
            <w:i/>
            <w:strike w:val="0"/>
            <w:noProof w:val="0"/>
            <w:color w:val="0077CC"/>
            <w:position w:val="0"/>
            <w:sz w:val="18"/>
            <w:u w:val="single"/>
            <w:shd w:val="clear" w:color="auto" w:fill="FFFFFF"/>
            <w:vertAlign w:val="baseline"/>
          </w:rPr>
          <w:t>Simmonds v. INS, 326 F.3d 351, 354 (2d Cir. 2003)</w:t>
        </w:r>
      </w:hyperlink>
      <w:r>
        <w:rPr>
          <w:rFonts w:ascii="arial" w:eastAsia="arial" w:hAnsi="arial" w:cs="arial"/>
          <w:b w:val="0"/>
          <w:i w:val="0"/>
          <w:strike w:val="0"/>
          <w:noProof w:val="0"/>
          <w:color w:val="000000"/>
          <w:position w:val="0"/>
          <w:sz w:val="18"/>
          <w:u w:val="none"/>
          <w:vertAlign w:val="baseline"/>
        </w:rPr>
        <w:t xml:space="preserve"> (“[the] final order of removal is sufficient, by itself, establish … custody” (footnote omitted)).</w:t>
      </w:r>
    </w:p>
  </w:footnote>
  <w:footnote w:id="15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159 </w:t>
      </w:r>
      <w:hyperlink r:id="rId231"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231" w:history="1">
        <w:r>
          <w:rPr>
            <w:rFonts w:ascii="arial" w:eastAsia="arial" w:hAnsi="arial" w:cs="arial"/>
            <w:b w:val="0"/>
            <w:i/>
            <w:strike w:val="0"/>
            <w:noProof w:val="0"/>
            <w:color w:val="0077CC"/>
            <w:position w:val="0"/>
            <w:sz w:val="18"/>
            <w:u w:val="single"/>
            <w:shd w:val="clear" w:color="auto" w:fill="FFFFFF"/>
            <w:vertAlign w:val="baseline"/>
          </w:rPr>
          <w:t>. at 356</w:t>
        </w:r>
      </w:hyperlink>
      <w:r>
        <w:rPr>
          <w:rFonts w:ascii="arial" w:eastAsia="arial" w:hAnsi="arial" w:cs="arial"/>
          <w:b w:val="0"/>
          <w:i w:val="0"/>
          <w:strike w:val="0"/>
          <w:noProof w:val="0"/>
          <w:color w:val="000000"/>
          <w:position w:val="0"/>
          <w:sz w:val="18"/>
          <w:u w:val="none"/>
          <w:vertAlign w:val="baseline"/>
        </w:rPr>
        <w:t xml:space="preserve">; </w:t>
      </w:r>
      <w:hyperlink r:id="rId242" w:history="1">
        <w:r>
          <w:rPr>
            <w:rFonts w:ascii="arial" w:eastAsia="arial" w:hAnsi="arial" w:cs="arial"/>
            <w:b w:val="0"/>
            <w:i/>
            <w:strike w:val="0"/>
            <w:noProof w:val="0"/>
            <w:color w:val="0077CC"/>
            <w:position w:val="0"/>
            <w:sz w:val="18"/>
            <w:u w:val="single"/>
            <w:shd w:val="clear" w:color="auto" w:fill="FFFFFF"/>
            <w:vertAlign w:val="baseline"/>
          </w:rPr>
          <w:t>Duamutef v. INS, 2003 U.S. Dist. LEXIS 8059, at *7–8 (E.D.N.Y. May 14, 2003)</w:t>
        </w:r>
      </w:hyperlink>
      <w:r>
        <w:rPr>
          <w:rFonts w:ascii="arial" w:eastAsia="arial" w:hAnsi="arial" w:cs="arial"/>
          <w:b w:val="0"/>
          <w:i w:val="0"/>
          <w:strike w:val="0"/>
          <w:noProof w:val="0"/>
          <w:color w:val="000000"/>
          <w:position w:val="0"/>
          <w:sz w:val="18"/>
          <w:u w:val="none"/>
          <w:vertAlign w:val="baseline"/>
        </w:rPr>
        <w:t xml:space="preserve"> (constructive custody for an individual serving a state sentence under an immigration detainer and subject to mandatory detention by the INS exists for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challenging prospective INS custody, not current state custody).</w:t>
      </w:r>
    </w:p>
  </w:footnote>
  <w:footnote w:id="16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160 </w:t>
      </w:r>
      <w:hyperlink r:id="rId243" w:history="1">
        <w:r>
          <w:rPr>
            <w:rFonts w:ascii="arial" w:eastAsia="arial" w:hAnsi="arial" w:cs="arial"/>
            <w:b w:val="0"/>
            <w:i/>
            <w:strike w:val="0"/>
            <w:noProof w:val="0"/>
            <w:color w:val="0077CC"/>
            <w:position w:val="0"/>
            <w:sz w:val="18"/>
            <w:u w:val="single"/>
            <w:shd w:val="clear" w:color="auto" w:fill="FFFFFF"/>
            <w:vertAlign w:val="baseline"/>
          </w:rPr>
          <w:t>Johnson v. ICE, 960 F. Supp. 2d 347, 348–49 (D.P.R. 2013)</w:t>
        </w:r>
      </w:hyperlink>
      <w:r>
        <w:rPr>
          <w:rFonts w:ascii="arial" w:eastAsia="arial" w:hAnsi="arial" w:cs="arial"/>
          <w:b w:val="0"/>
          <w:i w:val="0"/>
          <w:strike w:val="0"/>
          <w:noProof w:val="0"/>
          <w:color w:val="000000"/>
          <w:position w:val="0"/>
          <w:sz w:val="18"/>
          <w:u w:val="none"/>
          <w:vertAlign w:val="baseline"/>
        </w:rPr>
        <w:t xml:space="preserve"> (recognizing circuit split and collecting cases);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44" w:history="1">
        <w:r>
          <w:rPr>
            <w:rFonts w:ascii="arial" w:eastAsia="arial" w:hAnsi="arial" w:cs="arial"/>
            <w:b w:val="0"/>
            <w:i/>
            <w:strike w:val="0"/>
            <w:noProof w:val="0"/>
            <w:color w:val="0077CC"/>
            <w:position w:val="0"/>
            <w:sz w:val="18"/>
            <w:u w:val="single"/>
            <w:shd w:val="clear" w:color="auto" w:fill="FFFFFF"/>
            <w:vertAlign w:val="baseline"/>
          </w:rPr>
          <w:t>Zolicoffer v. U.S. DOJ, 315 F.3d 538, 540–41 (5th Cir. 2003)</w:t>
        </w:r>
      </w:hyperlink>
      <w:r>
        <w:rPr>
          <w:rFonts w:ascii="arial" w:eastAsia="arial" w:hAnsi="arial" w:cs="arial"/>
          <w:b w:val="0"/>
          <w:i w:val="0"/>
          <w:strike w:val="0"/>
          <w:noProof w:val="0"/>
          <w:color w:val="000000"/>
          <w:position w:val="0"/>
          <w:sz w:val="18"/>
          <w:u w:val="none"/>
          <w:vertAlign w:val="baseline"/>
        </w:rPr>
        <w:t xml:space="preserve">; </w:t>
      </w:r>
      <w:hyperlink r:id="rId245" w:history="1">
        <w:r>
          <w:rPr>
            <w:rFonts w:ascii="arial" w:eastAsia="arial" w:hAnsi="arial" w:cs="arial"/>
            <w:b w:val="0"/>
            <w:i/>
            <w:strike w:val="0"/>
            <w:noProof w:val="0"/>
            <w:color w:val="0077CC"/>
            <w:position w:val="0"/>
            <w:sz w:val="18"/>
            <w:u w:val="single"/>
            <w:shd w:val="clear" w:color="auto" w:fill="FFFFFF"/>
            <w:vertAlign w:val="baseline"/>
          </w:rPr>
          <w:t>Garcia-Garcia v. Comfort, 2003 U.S. App. LEXIS 7529 (10th Cir. Apr. 21, 2003)</w:t>
        </w:r>
      </w:hyperlink>
      <w:r>
        <w:rPr>
          <w:rFonts w:ascii="arial" w:eastAsia="arial" w:hAnsi="arial" w:cs="arial"/>
          <w:b w:val="0"/>
          <w:i w:val="0"/>
          <w:strike w:val="0"/>
          <w:noProof w:val="0"/>
          <w:color w:val="000000"/>
          <w:position w:val="0"/>
          <w:sz w:val="18"/>
          <w:u w:val="none"/>
          <w:vertAlign w:val="baseline"/>
        </w:rPr>
        <w:t xml:space="preserve">; </w:t>
      </w:r>
      <w:hyperlink r:id="rId246" w:history="1">
        <w:r>
          <w:rPr>
            <w:rFonts w:ascii="arial" w:eastAsia="arial" w:hAnsi="arial" w:cs="arial"/>
            <w:b w:val="0"/>
            <w:i/>
            <w:strike w:val="0"/>
            <w:noProof w:val="0"/>
            <w:color w:val="0077CC"/>
            <w:position w:val="0"/>
            <w:sz w:val="18"/>
            <w:u w:val="single"/>
            <w:shd w:val="clear" w:color="auto" w:fill="FFFFFF"/>
            <w:vertAlign w:val="baseline"/>
          </w:rPr>
          <w:t>Ramirez v. INS, 2002 U.S. App. LEXIS 3335 (6th Cir. Feb. 26, 2002)</w:t>
        </w:r>
      </w:hyperlink>
      <w:r>
        <w:rPr>
          <w:rFonts w:ascii="arial" w:eastAsia="arial" w:hAnsi="arial" w:cs="arial"/>
          <w:b w:val="0"/>
          <w:i w:val="0"/>
          <w:strike w:val="0"/>
          <w:noProof w:val="0"/>
          <w:color w:val="000000"/>
          <w:position w:val="0"/>
          <w:sz w:val="18"/>
          <w:u w:val="none"/>
          <w:vertAlign w:val="baseline"/>
        </w:rPr>
        <w:t xml:space="preserve">; </w:t>
      </w:r>
      <w:hyperlink r:id="rId247" w:history="1">
        <w:r>
          <w:rPr>
            <w:rFonts w:ascii="arial" w:eastAsia="arial" w:hAnsi="arial" w:cs="arial"/>
            <w:b w:val="0"/>
            <w:i/>
            <w:strike w:val="0"/>
            <w:noProof w:val="0"/>
            <w:color w:val="0077CC"/>
            <w:position w:val="0"/>
            <w:sz w:val="18"/>
            <w:u w:val="single"/>
            <w:shd w:val="clear" w:color="auto" w:fill="FFFFFF"/>
            <w:vertAlign w:val="baseline"/>
          </w:rPr>
          <w:t>Morales v. INS, 2001 U.S. App. LEXIS 26959 (10th Cir. Dec. 20, 2001)</w:t>
        </w:r>
      </w:hyperlink>
      <w:r>
        <w:rPr>
          <w:rFonts w:ascii="arial" w:eastAsia="arial" w:hAnsi="arial" w:cs="arial"/>
          <w:b w:val="0"/>
          <w:i w:val="0"/>
          <w:strike w:val="0"/>
          <w:noProof w:val="0"/>
          <w:color w:val="000000"/>
          <w:position w:val="0"/>
          <w:sz w:val="18"/>
          <w:u w:val="none"/>
          <w:vertAlign w:val="baseline"/>
        </w:rPr>
        <w:t xml:space="preserve">; </w:t>
      </w:r>
      <w:hyperlink r:id="rId248" w:history="1">
        <w:r>
          <w:rPr>
            <w:rFonts w:ascii="arial" w:eastAsia="arial" w:hAnsi="arial" w:cs="arial"/>
            <w:b w:val="0"/>
            <w:i/>
            <w:strike w:val="0"/>
            <w:noProof w:val="0"/>
            <w:color w:val="0077CC"/>
            <w:position w:val="0"/>
            <w:sz w:val="18"/>
            <w:u w:val="single"/>
            <w:shd w:val="clear" w:color="auto" w:fill="FFFFFF"/>
            <w:vertAlign w:val="baseline"/>
          </w:rPr>
          <w:t>Perez-Ramirez v. Lindemann, 2001 U.S. App. LEXIS 20374 (8th Cir. Sept. 12, 2001)</w:t>
        </w:r>
      </w:hyperlink>
      <w:r>
        <w:rPr>
          <w:rFonts w:ascii="arial" w:eastAsia="arial" w:hAnsi="arial" w:cs="arial"/>
          <w:b w:val="0"/>
          <w:i w:val="0"/>
          <w:strike w:val="0"/>
          <w:noProof w:val="0"/>
          <w:color w:val="000000"/>
          <w:position w:val="0"/>
          <w:sz w:val="18"/>
          <w:u w:val="none"/>
          <w:vertAlign w:val="baseline"/>
        </w:rPr>
        <w:t xml:space="preserve">; </w:t>
      </w:r>
      <w:hyperlink r:id="rId240" w:history="1">
        <w:r>
          <w:rPr>
            <w:rFonts w:ascii="arial" w:eastAsia="arial" w:hAnsi="arial" w:cs="arial"/>
            <w:b w:val="0"/>
            <w:i/>
            <w:strike w:val="0"/>
            <w:noProof w:val="0"/>
            <w:color w:val="0077CC"/>
            <w:position w:val="0"/>
            <w:sz w:val="18"/>
            <w:u w:val="single"/>
            <w:shd w:val="clear" w:color="auto" w:fill="FFFFFF"/>
            <w:vertAlign w:val="baseline"/>
          </w:rPr>
          <w:t>Vargas v. Swan, 854 F.2d 1028, 1032–33 (7th Cir. 1988)</w:t>
        </w:r>
      </w:hyperlink>
      <w:r>
        <w:rPr>
          <w:rFonts w:ascii="arial" w:eastAsia="arial" w:hAnsi="arial" w:cs="arial"/>
          <w:b w:val="0"/>
          <w:i w:val="0"/>
          <w:strike w:val="0"/>
          <w:noProof w:val="0"/>
          <w:color w:val="000000"/>
          <w:position w:val="0"/>
          <w:sz w:val="18"/>
          <w:u w:val="none"/>
          <w:vertAlign w:val="baseline"/>
        </w:rPr>
        <w:t xml:space="preserve">; </w:t>
      </w:r>
      <w:hyperlink r:id="rId249" w:history="1">
        <w:r>
          <w:rPr>
            <w:rFonts w:ascii="arial" w:eastAsia="arial" w:hAnsi="arial" w:cs="arial"/>
            <w:b w:val="0"/>
            <w:i/>
            <w:strike w:val="0"/>
            <w:noProof w:val="0"/>
            <w:color w:val="0077CC"/>
            <w:position w:val="0"/>
            <w:sz w:val="18"/>
            <w:u w:val="single"/>
            <w:shd w:val="clear" w:color="auto" w:fill="FFFFFF"/>
            <w:vertAlign w:val="baseline"/>
          </w:rPr>
          <w:t>Kendall v. INS, 261 F. Supp. 2d 296 (S.D.N.Y.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50" w:history="1">
        <w:r>
          <w:rPr>
            <w:rFonts w:ascii="arial" w:eastAsia="arial" w:hAnsi="arial" w:cs="arial"/>
            <w:b w:val="0"/>
            <w:i/>
            <w:strike w:val="0"/>
            <w:noProof w:val="0"/>
            <w:color w:val="0077CC"/>
            <w:position w:val="0"/>
            <w:sz w:val="18"/>
            <w:u w:val="single"/>
            <w:shd w:val="clear" w:color="auto" w:fill="FFFFFF"/>
            <w:vertAlign w:val="baseline"/>
          </w:rPr>
          <w:t>DiGrado v. Ashcroft, 2003 U.S. App. LEXIS 7407 (2d Cir. Apr. 17, 2003)</w:t>
        </w:r>
      </w:hyperlink>
      <w:r>
        <w:rPr>
          <w:rFonts w:ascii="arial" w:eastAsia="arial" w:hAnsi="arial" w:cs="arial"/>
          <w:b w:val="0"/>
          <w:i w:val="0"/>
          <w:strike w:val="0"/>
          <w:noProof w:val="0"/>
          <w:color w:val="000000"/>
          <w:position w:val="0"/>
          <w:sz w:val="18"/>
          <w:u w:val="none"/>
          <w:vertAlign w:val="baseline"/>
        </w:rPr>
        <w:t xml:space="preserve"> (petitioner whose deportation order had not been reinstated and was not subject to a detainer not in custody of INS).</w:t>
      </w:r>
    </w:p>
  </w:footnote>
  <w:footnote w:id="1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161 </w:t>
      </w:r>
      <w:hyperlink r:id="rId251" w:history="1">
        <w:r>
          <w:rPr>
            <w:rFonts w:ascii="arial" w:eastAsia="arial" w:hAnsi="arial" w:cs="arial"/>
            <w:b w:val="0"/>
            <w:i/>
            <w:strike w:val="0"/>
            <w:noProof w:val="0"/>
            <w:color w:val="0077CC"/>
            <w:position w:val="0"/>
            <w:sz w:val="18"/>
            <w:u w:val="single"/>
            <w:shd w:val="clear" w:color="auto" w:fill="FFFFFF"/>
            <w:vertAlign w:val="baseline"/>
          </w:rPr>
          <w:t>Channer v. INS, 2003 U.S. Dist. LEXIS 4436, at *6 (D. Conn. Mar. 24, 2003)</w:t>
        </w:r>
      </w:hyperlink>
      <w:r>
        <w:rPr>
          <w:rFonts w:ascii="arial" w:eastAsia="arial" w:hAnsi="arial" w:cs="arial"/>
          <w:b w:val="0"/>
          <w:i w:val="0"/>
          <w:strike w:val="0"/>
          <w:noProof w:val="0"/>
          <w:color w:val="000000"/>
          <w:position w:val="0"/>
          <w:sz w:val="18"/>
          <w:u w:val="none"/>
          <w:vertAlign w:val="baseline"/>
        </w:rPr>
        <w:t>.</w:t>
      </w:r>
    </w:p>
  </w:footnote>
  <w:footnote w:id="16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162 </w:t>
      </w:r>
      <w:hyperlink r:id="rId252" w:history="1">
        <w:r>
          <w:rPr>
            <w:rFonts w:ascii="arial" w:eastAsia="arial" w:hAnsi="arial" w:cs="arial"/>
            <w:b w:val="0"/>
            <w:i/>
            <w:strike w:val="0"/>
            <w:noProof w:val="0"/>
            <w:color w:val="0077CC"/>
            <w:position w:val="0"/>
            <w:sz w:val="18"/>
            <w:u w:val="single"/>
            <w:shd w:val="clear" w:color="auto" w:fill="FFFFFF"/>
            <w:vertAlign w:val="baseline"/>
          </w:rPr>
          <w:t>Rosales-Garcia v. Holland, 322 F.3d 386, 394–96 (6th Cir.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253" w:history="1">
        <w:r>
          <w:rPr>
            <w:rFonts w:ascii="arial" w:eastAsia="arial" w:hAnsi="arial" w:cs="arial"/>
            <w:b w:val="0"/>
            <w:i/>
            <w:strike w:val="0"/>
            <w:noProof w:val="0"/>
            <w:color w:val="0077CC"/>
            <w:position w:val="0"/>
            <w:sz w:val="18"/>
            <w:u w:val="single"/>
            <w:shd w:val="clear" w:color="auto" w:fill="FFFFFF"/>
            <w:vertAlign w:val="baseline"/>
          </w:rPr>
          <w:t>Camara v. Comfort, 235 F. Supp. 2d 1174, 1176 (D. Colo. 2002)</w:t>
        </w:r>
      </w:hyperlink>
      <w:r>
        <w:rPr>
          <w:rFonts w:ascii="arial" w:eastAsia="arial" w:hAnsi="arial" w:cs="arial"/>
          <w:b w:val="0"/>
          <w:i w:val="0"/>
          <w:strike w:val="0"/>
          <w:noProof w:val="0"/>
          <w:color w:val="000000"/>
          <w:position w:val="0"/>
          <w:sz w:val="18"/>
          <w:u w:val="none"/>
          <w:vertAlign w:val="baseline"/>
        </w:rPr>
        <w:t xml:space="preserve"> (release under an order of supervision after a final order of removal renders petition moot). The determination of custody status for purposes of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after release from actual detention is an issue of mootness, and is discussed further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in § 104.04[7]</w:t>
        </w:r>
      </w:hyperlink>
      <w:r>
        <w:rPr>
          <w:rFonts w:ascii="arial" w:eastAsia="arial" w:hAnsi="arial" w:cs="arial"/>
          <w:b w:val="0"/>
          <w:i w:val="0"/>
          <w:strike w:val="0"/>
          <w:noProof w:val="0"/>
          <w:color w:val="000000"/>
          <w:position w:val="0"/>
          <w:sz w:val="18"/>
          <w:u w:val="none"/>
          <w:vertAlign w:val="baseline"/>
        </w:rPr>
        <w:t>.</w:t>
      </w:r>
    </w:p>
  </w:footnote>
  <w:footnote w:id="1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Mustata v. U.S. DOJ, 179 F.3d 1017, 1022 (6th Cir. 1999)</w:t>
        </w:r>
      </w:hyperlink>
      <w:r>
        <w:rPr>
          <w:rFonts w:ascii="arial" w:eastAsia="arial" w:hAnsi="arial" w:cs="arial"/>
          <w:b w:val="0"/>
          <w:i w:val="0"/>
          <w:strike w:val="0"/>
          <w:noProof w:val="0"/>
          <w:color w:val="000000"/>
          <w:position w:val="0"/>
          <w:sz w:val="18"/>
          <w:u w:val="none"/>
          <w:vertAlign w:val="baseline"/>
        </w:rPr>
        <w:t xml:space="preserve"> (citing, </w:t>
      </w:r>
      <w:r>
        <w:rPr>
          <w:rFonts w:ascii="arial" w:eastAsia="arial" w:hAnsi="arial" w:cs="arial"/>
          <w:b w:val="0"/>
          <w:i/>
          <w:strike w:val="0"/>
          <w:noProof w:val="0"/>
          <w:color w:val="000000"/>
          <w:position w:val="0"/>
          <w:sz w:val="18"/>
          <w:u w:val="none"/>
          <w:vertAlign w:val="baseline"/>
        </w:rPr>
        <w:t>inter alia</w:t>
      </w:r>
      <w:r>
        <w:rPr>
          <w:rFonts w:ascii="arial" w:eastAsia="arial" w:hAnsi="arial" w:cs="arial"/>
          <w:b w:val="0"/>
          <w:i w:val="0"/>
          <w:strike w:val="0"/>
          <w:noProof w:val="0"/>
          <w:color w:val="000000"/>
          <w:position w:val="0"/>
          <w:sz w:val="18"/>
          <w:u w:val="none"/>
          <w:vertAlign w:val="baseline"/>
        </w:rPr>
        <w:t xml:space="preserve">, </w:t>
      </w:r>
      <w:hyperlink r:id="rId221" w:history="1">
        <w:r>
          <w:rPr>
            <w:rFonts w:ascii="arial" w:eastAsia="arial" w:hAnsi="arial" w:cs="arial"/>
            <w:b w:val="0"/>
            <w:i/>
            <w:strike w:val="0"/>
            <w:noProof w:val="0"/>
            <w:color w:val="0077CC"/>
            <w:position w:val="0"/>
            <w:sz w:val="18"/>
            <w:u w:val="single"/>
            <w:shd w:val="clear" w:color="auto" w:fill="FFFFFF"/>
            <w:vertAlign w:val="baseline"/>
          </w:rPr>
          <w:t>Nakaranurack v. United States, 68 F.3d 290, 293 (9th Cir. 1995))</w:t>
        </w:r>
      </w:hyperlink>
      <w:r>
        <w:rPr>
          <w:rFonts w:ascii="arial" w:eastAsia="arial" w:hAnsi="arial" w:cs="arial"/>
          <w:b w:val="0"/>
          <w:i w:val="0"/>
          <w:strike w:val="0"/>
          <w:noProof w:val="0"/>
          <w:color w:val="000000"/>
          <w:position w:val="0"/>
          <w:sz w:val="18"/>
          <w:u w:val="none"/>
          <w:vertAlign w:val="baseline"/>
        </w:rPr>
        <w:t>.</w:t>
      </w:r>
    </w:p>
  </w:footnote>
  <w:footnote w:id="1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164 </w:t>
      </w:r>
      <w:hyperlink r:id="rId254" w:history="1">
        <w:r>
          <w:rPr>
            <w:rFonts w:ascii="arial" w:eastAsia="arial" w:hAnsi="arial" w:cs="arial"/>
            <w:b w:val="0"/>
            <w:i/>
            <w:strike w:val="0"/>
            <w:noProof w:val="0"/>
            <w:color w:val="0077CC"/>
            <w:position w:val="0"/>
            <w:sz w:val="18"/>
            <w:u w:val="single"/>
            <w:shd w:val="clear" w:color="auto" w:fill="FFFFFF"/>
            <w:vertAlign w:val="baseline"/>
          </w:rPr>
          <w:t>Ogunwomoju v. United States, 512 F.3d 69 (2d Cir. 2008)</w:t>
        </w:r>
      </w:hyperlink>
      <w:r>
        <w:rPr>
          <w:rFonts w:ascii="arial" w:eastAsia="arial" w:hAnsi="arial" w:cs="arial"/>
          <w:b w:val="0"/>
          <w:i w:val="0"/>
          <w:strike w:val="0"/>
          <w:noProof w:val="0"/>
          <w:color w:val="000000"/>
          <w:position w:val="0"/>
          <w:sz w:val="18"/>
          <w:u w:val="none"/>
          <w:vertAlign w:val="baseline"/>
        </w:rPr>
        <w:t xml:space="preserve"> (immigration detention does not constitute custody for purposes of challenging a state court conviction under § 2254); </w:t>
      </w:r>
      <w:hyperlink r:id="rId255" w:history="1">
        <w:r>
          <w:rPr>
            <w:rFonts w:ascii="arial" w:eastAsia="arial" w:hAnsi="arial" w:cs="arial"/>
            <w:b w:val="0"/>
            <w:i/>
            <w:strike w:val="0"/>
            <w:noProof w:val="0"/>
            <w:color w:val="0077CC"/>
            <w:position w:val="0"/>
            <w:sz w:val="18"/>
            <w:u w:val="single"/>
            <w:shd w:val="clear" w:color="auto" w:fill="FFFFFF"/>
            <w:vertAlign w:val="baseline"/>
          </w:rPr>
          <w:t>Pacheco-Medina v. Oregon, 2003 U.S. App. LEXIS 7584 (9th Cir. Apr. 21, 2003)</w:t>
        </w:r>
      </w:hyperlink>
      <w:r>
        <w:rPr>
          <w:rFonts w:ascii="arial" w:eastAsia="arial" w:hAnsi="arial" w:cs="arial"/>
          <w:b w:val="0"/>
          <w:i w:val="0"/>
          <w:strike w:val="0"/>
          <w:noProof w:val="0"/>
          <w:color w:val="000000"/>
          <w:position w:val="0"/>
          <w:sz w:val="18"/>
          <w:u w:val="none"/>
          <w:vertAlign w:val="baseline"/>
        </w:rPr>
        <w:t xml:space="preserve"> (“Collateral consequences of a conviction [here, deportation proceedings] are not themselves sufficient to render an individual in custody for the purposes of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attack upon it.”) (internal quotation marks omitted); </w:t>
      </w:r>
      <w:hyperlink r:id="rId256" w:history="1">
        <w:r>
          <w:rPr>
            <w:rFonts w:ascii="arial" w:eastAsia="arial" w:hAnsi="arial" w:cs="arial"/>
            <w:b w:val="0"/>
            <w:i/>
            <w:strike w:val="0"/>
            <w:noProof w:val="0"/>
            <w:color w:val="0077CC"/>
            <w:position w:val="0"/>
            <w:sz w:val="18"/>
            <w:u w:val="single"/>
            <w:shd w:val="clear" w:color="auto" w:fill="FFFFFF"/>
            <w:vertAlign w:val="baseline"/>
          </w:rPr>
          <w:t>Cuevas v. New York, 2002 U.S. Dist. LEXIS 2011 (S.D.N.Y. Feb. 14, 2002)</w:t>
        </w:r>
      </w:hyperlink>
      <w:r>
        <w:rPr>
          <w:rFonts w:ascii="arial" w:eastAsia="arial" w:hAnsi="arial" w:cs="arial"/>
          <w:b w:val="0"/>
          <w:i w:val="0"/>
          <w:strike w:val="0"/>
          <w:noProof w:val="0"/>
          <w:color w:val="000000"/>
          <w:position w:val="0"/>
          <w:sz w:val="18"/>
          <w:u w:val="none"/>
          <w:vertAlign w:val="baseline"/>
        </w:rPr>
        <w:t xml:space="preserve"> (petitioner subject to a removal order cannot attack an underlying state conviction if he is no longer in state custody).</w:t>
      </w:r>
    </w:p>
  </w:footnote>
  <w:footnote w:id="16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165 </w:t>
      </w:r>
      <w:hyperlink r:id="rId257" w:history="1">
        <w:r>
          <w:rPr>
            <w:rFonts w:ascii="arial" w:eastAsia="arial" w:hAnsi="arial" w:cs="arial"/>
            <w:b w:val="0"/>
            <w:i/>
            <w:strike w:val="0"/>
            <w:noProof w:val="0"/>
            <w:color w:val="0077CC"/>
            <w:position w:val="0"/>
            <w:sz w:val="18"/>
            <w:u w:val="single"/>
            <w:shd w:val="clear" w:color="auto" w:fill="FFFFFF"/>
            <w:vertAlign w:val="baseline"/>
          </w:rPr>
          <w:t>Johnson v. INS, 2003 U.S. Dist. LEXIS 705, at *7 (D. Conn. Jan. 21, 2003)</w:t>
        </w:r>
      </w:hyperlink>
      <w:r>
        <w:rPr>
          <w:rFonts w:ascii="arial" w:eastAsia="arial" w:hAnsi="arial" w:cs="arial"/>
          <w:b w:val="0"/>
          <w:i w:val="0"/>
          <w:strike w:val="0"/>
          <w:noProof w:val="0"/>
          <w:color w:val="000000"/>
          <w:position w:val="0"/>
          <w:sz w:val="18"/>
          <w:u w:val="none"/>
          <w:vertAlign w:val="baseline"/>
        </w:rPr>
        <w:t xml:space="preserve"> (a § 2241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cannot be used to challenge an underlying state conviction).</w:t>
      </w:r>
    </w:p>
  </w:footnote>
  <w:footnote w:id="16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166 </w:t>
      </w:r>
      <w:hyperlink r:id="rId258" w:history="1">
        <w:r>
          <w:rPr>
            <w:rFonts w:ascii="arial" w:eastAsia="arial" w:hAnsi="arial" w:cs="arial"/>
            <w:b w:val="0"/>
            <w:i/>
            <w:strike w:val="0"/>
            <w:noProof w:val="0"/>
            <w:color w:val="0077CC"/>
            <w:position w:val="0"/>
            <w:sz w:val="18"/>
            <w:u w:val="single"/>
            <w:shd w:val="clear" w:color="auto" w:fill="FFFFFF"/>
            <w:vertAlign w:val="baseline"/>
          </w:rPr>
          <w:t>Handa v. Clark, 401 F.3d 1129 (9th Cir. 2005)</w:t>
        </w:r>
      </w:hyperlink>
      <w:r>
        <w:rPr>
          <w:rFonts w:ascii="arial" w:eastAsia="arial" w:hAnsi="arial" w:cs="arial"/>
          <w:b w:val="0"/>
          <w:i w:val="0"/>
          <w:strike w:val="0"/>
          <w:noProof w:val="0"/>
          <w:color w:val="000000"/>
          <w:position w:val="0"/>
          <w:sz w:val="18"/>
          <w:u w:val="none"/>
          <w:vertAlign w:val="baseline"/>
        </w:rPr>
        <w:t xml:space="preserve"> (jurisdiction retained after removal due to collateral consequences of denial of visa waiver); </w:t>
      </w:r>
      <w:hyperlink r:id="rId259" w:history="1">
        <w:r>
          <w:rPr>
            <w:rFonts w:ascii="arial" w:eastAsia="arial" w:hAnsi="arial" w:cs="arial"/>
            <w:b w:val="0"/>
            <w:i/>
            <w:strike w:val="0"/>
            <w:noProof w:val="0"/>
            <w:color w:val="0077CC"/>
            <w:position w:val="0"/>
            <w:sz w:val="18"/>
            <w:u w:val="single"/>
            <w:shd w:val="clear" w:color="auto" w:fill="FFFFFF"/>
            <w:vertAlign w:val="baseline"/>
          </w:rPr>
          <w:t>Johnson v. Ashcroft, 378 F.3d 164 (2d Cir. 2004)</w:t>
        </w:r>
      </w:hyperlink>
      <w:r>
        <w:rPr>
          <w:rFonts w:ascii="arial" w:eastAsia="arial" w:hAnsi="arial" w:cs="arial"/>
          <w:b w:val="0"/>
          <w:i w:val="0"/>
          <w:strike w:val="0"/>
          <w:noProof w:val="0"/>
          <w:color w:val="000000"/>
          <w:position w:val="0"/>
          <w:sz w:val="18"/>
          <w:u w:val="none"/>
          <w:vertAlign w:val="baseline"/>
        </w:rPr>
        <w:t xml:space="preserve"> (denial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after removal was reversed); </w:t>
      </w:r>
      <w:hyperlink r:id="rId260" w:history="1">
        <w:r>
          <w:rPr>
            <w:rFonts w:ascii="arial" w:eastAsia="arial" w:hAnsi="arial" w:cs="arial"/>
            <w:b w:val="0"/>
            <w:i/>
            <w:strike w:val="0"/>
            <w:noProof w:val="0"/>
            <w:color w:val="0077CC"/>
            <w:position w:val="0"/>
            <w:sz w:val="18"/>
            <w:u w:val="single"/>
            <w:shd w:val="clear" w:color="auto" w:fill="FFFFFF"/>
            <w:vertAlign w:val="baseline"/>
          </w:rPr>
          <w:t>Zalawadia v. Ashcroft, 371 F.3d 292 (5th Cir. 2004)</w:t>
        </w:r>
      </w:hyperlink>
      <w:r>
        <w:rPr>
          <w:rFonts w:ascii="arial" w:eastAsia="arial" w:hAnsi="arial" w:cs="arial"/>
          <w:b w:val="0"/>
          <w:i w:val="0"/>
          <w:strike w:val="0"/>
          <w:noProof w:val="0"/>
          <w:color w:val="000000"/>
          <w:position w:val="0"/>
          <w:sz w:val="18"/>
          <w:u w:val="none"/>
          <w:vertAlign w:val="baseline"/>
        </w:rPr>
        <w:t xml:space="preserve"> (“in custody” determination made at time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is filed); </w:t>
      </w:r>
      <w:hyperlink r:id="rId261" w:history="1">
        <w:r>
          <w:rPr>
            <w:rFonts w:ascii="arial" w:eastAsia="arial" w:hAnsi="arial" w:cs="arial"/>
            <w:b w:val="0"/>
            <w:i/>
            <w:strike w:val="0"/>
            <w:noProof w:val="0"/>
            <w:color w:val="0077CC"/>
            <w:position w:val="0"/>
            <w:sz w:val="18"/>
            <w:u w:val="single"/>
            <w:shd w:val="clear" w:color="auto" w:fill="FFFFFF"/>
            <w:vertAlign w:val="baseline"/>
          </w:rPr>
          <w:t>Reyes-Sanchez v. Ashcroft, 261 F. Supp. 2d 276 (S.D.N.Y. 2003)</w:t>
        </w:r>
      </w:hyperlink>
      <w:r>
        <w:rPr>
          <w:rFonts w:ascii="arial" w:eastAsia="arial" w:hAnsi="arial" w:cs="arial"/>
          <w:b w:val="0"/>
          <w:i w:val="0"/>
          <w:strike w:val="0"/>
          <w:noProof w:val="0"/>
          <w:color w:val="000000"/>
          <w:position w:val="0"/>
          <w:sz w:val="18"/>
          <w:u w:val="none"/>
          <w:vertAlign w:val="baseline"/>
        </w:rPr>
        <w:t xml:space="preserve"> (removal before transfer of case from circuit to district court did not moot case where court of appeals ruled proper jurisdiction was in district court in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w:t>
      </w:r>
      <w:hyperlink r:id="rId262" w:history="1">
        <w:r>
          <w:rPr>
            <w:rFonts w:ascii="arial" w:eastAsia="arial" w:hAnsi="arial" w:cs="arial"/>
            <w:b w:val="0"/>
            <w:i/>
            <w:strike w:val="0"/>
            <w:noProof w:val="0"/>
            <w:color w:val="0077CC"/>
            <w:position w:val="0"/>
            <w:sz w:val="18"/>
            <w:u w:val="single"/>
            <w:shd w:val="clear" w:color="auto" w:fill="FFFFFF"/>
            <w:vertAlign w:val="baseline"/>
          </w:rPr>
          <w:t>So v. Reno, 251 F. Supp. 2d 1112</w:t>
        </w:r>
      </w:hyperlink>
      <w:r>
        <w:rPr>
          <w:rFonts w:ascii="arial" w:eastAsia="arial" w:hAnsi="arial" w:cs="arial"/>
          <w:b w:val="0"/>
          <w:i w:val="0"/>
          <w:strike w:val="0"/>
          <w:noProof w:val="0"/>
          <w:color w:val="000000"/>
          <w:position w:val="0"/>
          <w:sz w:val="18"/>
          <w:u w:val="none"/>
          <w:vertAlign w:val="baseline"/>
        </w:rPr>
        <w:t xml:space="preserve"> E.D.N.Y. 2003) (“in custody” if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filed before deportation);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196 (5th Cir. 2000)</w:t>
        </w:r>
      </w:hyperlink>
      <w:r>
        <w:rPr>
          <w:rFonts w:ascii="arial" w:eastAsia="arial" w:hAnsi="arial" w:cs="arial"/>
          <w:b w:val="0"/>
          <w:i w:val="0"/>
          <w:strike w:val="0"/>
          <w:noProof w:val="0"/>
          <w:color w:val="000000"/>
          <w:position w:val="0"/>
          <w:sz w:val="18"/>
          <w:u w:val="none"/>
          <w:vertAlign w:val="baseline"/>
        </w:rPr>
        <w:t xml:space="preserve"> (petitioner’s deportation and consequent release from custody does not moot his claim, because his inadmissibility is a concrete collateral consequence and an ongoing injury),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w:t>
      </w:r>
    </w:p>
  </w:footnote>
  <w:footnote w:id="1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167 </w:t>
      </w:r>
      <w:hyperlink r:id="rId171" w:history="1">
        <w:r>
          <w:rPr>
            <w:rFonts w:ascii="arial" w:eastAsia="arial" w:hAnsi="arial" w:cs="arial"/>
            <w:b w:val="0"/>
            <w:i/>
            <w:strike w:val="0"/>
            <w:noProof w:val="0"/>
            <w:color w:val="0077CC"/>
            <w:position w:val="0"/>
            <w:sz w:val="18"/>
            <w:u w:val="single"/>
            <w:shd w:val="clear" w:color="auto" w:fill="FFFFFF"/>
            <w:vertAlign w:val="baseline"/>
          </w:rPr>
          <w:t>Flores-Torres v. Mukasey, 548 F.3d 708, 711 (9th Cir. 2008)</w:t>
        </w:r>
      </w:hyperlink>
      <w:r>
        <w:rPr>
          <w:rFonts w:ascii="arial" w:eastAsia="arial" w:hAnsi="arial" w:cs="arial"/>
          <w:b w:val="0"/>
          <w:i w:val="0"/>
          <w:strike w:val="0"/>
          <w:noProof w:val="0"/>
          <w:color w:val="000000"/>
          <w:position w:val="0"/>
          <w:sz w:val="18"/>
          <w:u w:val="none"/>
          <w:vertAlign w:val="baseline"/>
        </w:rPr>
        <w:t xml:space="preserve">; </w:t>
      </w:r>
      <w:hyperlink r:id="rId172" w:history="1">
        <w:r>
          <w:rPr>
            <w:rFonts w:ascii="arial" w:eastAsia="arial" w:hAnsi="arial" w:cs="arial"/>
            <w:b w:val="0"/>
            <w:i/>
            <w:strike w:val="0"/>
            <w:noProof w:val="0"/>
            <w:color w:val="0077CC"/>
            <w:position w:val="0"/>
            <w:sz w:val="18"/>
            <w:u w:val="single"/>
            <w:shd w:val="clear" w:color="auto" w:fill="FFFFFF"/>
            <w:vertAlign w:val="baseline"/>
          </w:rPr>
          <w:t>Kumarasamy v. Att’y Gen., 453 F.3d 169 (3d Cir. 2006)</w:t>
        </w:r>
      </w:hyperlink>
      <w:r>
        <w:rPr>
          <w:rFonts w:ascii="arial" w:eastAsia="arial" w:hAnsi="arial" w:cs="arial"/>
          <w:b w:val="0"/>
          <w:i w:val="0"/>
          <w:strike w:val="0"/>
          <w:noProof w:val="0"/>
          <w:color w:val="000000"/>
          <w:position w:val="0"/>
          <w:sz w:val="18"/>
          <w:u w:val="none"/>
          <w:vertAlign w:val="baseline"/>
        </w:rPr>
        <w:t xml:space="preserve"> (no custody where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filed after deportation); </w:t>
      </w:r>
      <w:hyperlink r:id="rId263" w:history="1">
        <w:r>
          <w:rPr>
            <w:rFonts w:ascii="arial" w:eastAsia="arial" w:hAnsi="arial" w:cs="arial"/>
            <w:b w:val="0"/>
            <w:i/>
            <w:strike w:val="0"/>
            <w:noProof w:val="0"/>
            <w:color w:val="0077CC"/>
            <w:position w:val="0"/>
            <w:sz w:val="18"/>
            <w:u w:val="single"/>
            <w:shd w:val="clear" w:color="auto" w:fill="FFFFFF"/>
            <w:vertAlign w:val="baseline"/>
          </w:rPr>
          <w:t>Patel v. Att’y Gen., 334 F.3d 1259 (11th Cir. 2003)</w:t>
        </w:r>
      </w:hyperlink>
      <w:r>
        <w:rPr>
          <w:rFonts w:ascii="arial" w:eastAsia="arial" w:hAnsi="arial" w:cs="arial"/>
          <w:b w:val="0"/>
          <w:i w:val="0"/>
          <w:strike w:val="0"/>
          <w:noProof w:val="0"/>
          <w:color w:val="000000"/>
          <w:position w:val="0"/>
          <w:sz w:val="18"/>
          <w:u w:val="none"/>
          <w:vertAlign w:val="baseline"/>
        </w:rPr>
        <w:t xml:space="preserve"> (court refused to transfer case seeking review of denial of motion to reopen, where person no longer in custody due to deportation); </w:t>
      </w:r>
      <w:hyperlink r:id="rId264" w:history="1">
        <w:r>
          <w:rPr>
            <w:rFonts w:ascii="arial" w:eastAsia="arial" w:hAnsi="arial" w:cs="arial"/>
            <w:b w:val="0"/>
            <w:i/>
            <w:strike w:val="0"/>
            <w:noProof w:val="0"/>
            <w:color w:val="0077CC"/>
            <w:position w:val="0"/>
            <w:sz w:val="18"/>
            <w:u w:val="single"/>
            <w:shd w:val="clear" w:color="auto" w:fill="FFFFFF"/>
            <w:vertAlign w:val="baseline"/>
          </w:rPr>
          <w:t>Miranda v. Reno, 238 F.3d 1156 (9th Cir. 2001)</w:t>
        </w:r>
      </w:hyperlink>
      <w:r>
        <w:rPr>
          <w:rFonts w:ascii="arial" w:eastAsia="arial" w:hAnsi="arial" w:cs="arial"/>
          <w:b w:val="0"/>
          <w:i w:val="0"/>
          <w:strike w:val="0"/>
          <w:noProof w:val="0"/>
          <w:color w:val="000000"/>
          <w:position w:val="0"/>
          <w:sz w:val="18"/>
          <w:u w:val="none"/>
          <w:vertAlign w:val="baseline"/>
        </w:rPr>
        <w:t xml:space="preserve"> (no custody where person was removed to Mexico); </w:t>
      </w:r>
      <w:hyperlink r:id="rId265" w:history="1">
        <w:r>
          <w:rPr>
            <w:rFonts w:ascii="arial" w:eastAsia="arial" w:hAnsi="arial" w:cs="arial"/>
            <w:b w:val="0"/>
            <w:i/>
            <w:strike w:val="0"/>
            <w:noProof w:val="0"/>
            <w:color w:val="0077CC"/>
            <w:position w:val="0"/>
            <w:sz w:val="18"/>
            <w:u w:val="single"/>
            <w:shd w:val="clear" w:color="auto" w:fill="FFFFFF"/>
            <w:vertAlign w:val="baseline"/>
          </w:rPr>
          <w:t>Terrado v. Moyer, 820 F.2d 920 (7th Cir.1987)</w:t>
        </w:r>
      </w:hyperlink>
      <w:r>
        <w:rPr>
          <w:rFonts w:ascii="arial" w:eastAsia="arial" w:hAnsi="arial" w:cs="arial"/>
          <w:b w:val="0"/>
          <w:i w:val="0"/>
          <w:strike w:val="0"/>
          <w:noProof w:val="0"/>
          <w:color w:val="000000"/>
          <w:position w:val="0"/>
          <w:sz w:val="18"/>
          <w:u w:val="none"/>
          <w:vertAlign w:val="baseline"/>
        </w:rPr>
        <w:t xml:space="preserve"> (same).</w:t>
      </w:r>
    </w:p>
  </w:footnote>
  <w:footnote w:id="168">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168 </w:t>
      </w:r>
      <w:hyperlink r:id="rId60" w:history="1">
        <w:r>
          <w:rPr>
            <w:rFonts w:ascii="arial" w:eastAsia="arial" w:hAnsi="arial" w:cs="arial"/>
            <w:b w:val="0"/>
            <w:i/>
            <w:strike w:val="0"/>
            <w:noProof w:val="0"/>
            <w:color w:val="0077CC"/>
            <w:position w:val="0"/>
            <w:sz w:val="18"/>
            <w:u w:val="single"/>
            <w:shd w:val="clear" w:color="auto" w:fill="FFFFFF"/>
            <w:vertAlign w:val="baseline"/>
          </w:rPr>
          <w:t>Samirah v. O’Connell, 335 F.3d 545 (7th Cir. 2003)</w:t>
        </w:r>
      </w:hyperlink>
      <w:r>
        <w:rPr>
          <w:rFonts w:ascii="arial" w:eastAsia="arial" w:hAnsi="arial" w:cs="arial"/>
          <w:b w:val="0"/>
          <w:i w:val="0"/>
          <w:strike w:val="0"/>
          <w:noProof w:val="0"/>
          <w:color w:val="000000"/>
          <w:position w:val="0"/>
          <w:sz w:val="18"/>
          <w:u w:val="none"/>
          <w:vertAlign w:val="baseline"/>
        </w:rPr>
        <w:t xml:space="preserve"> (no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of revocation of advance parole); </w:t>
      </w:r>
      <w:hyperlink r:id="rId266" w:history="1">
        <w:r>
          <w:rPr>
            <w:rFonts w:ascii="arial" w:eastAsia="arial" w:hAnsi="arial" w:cs="arial"/>
            <w:b w:val="0"/>
            <w:i/>
            <w:strike w:val="0"/>
            <w:noProof w:val="0"/>
            <w:color w:val="0077CC"/>
            <w:position w:val="0"/>
            <w:sz w:val="18"/>
            <w:u w:val="single"/>
            <w:shd w:val="clear" w:color="auto" w:fill="FFFFFF"/>
            <w:vertAlign w:val="baseline"/>
          </w:rPr>
          <w:t>El-Hadad v. United States, 377 F. Supp. 2d 42 (D.D.C. 2005)</w:t>
        </w:r>
      </w:hyperlink>
      <w:r>
        <w:rPr>
          <w:rFonts w:ascii="arial" w:eastAsia="arial" w:hAnsi="arial" w:cs="arial"/>
          <w:b w:val="0"/>
          <w:i w:val="0"/>
          <w:strike w:val="0"/>
          <w:noProof w:val="0"/>
          <w:color w:val="000000"/>
          <w:position w:val="0"/>
          <w:sz w:val="18"/>
          <w:u w:val="none"/>
          <w:vertAlign w:val="baseline"/>
        </w:rPr>
        <w:t xml:space="preserve"> (no review of denial of visa or advance parole). </w:t>
      </w:r>
      <w:r>
        <w:rPr>
          <w:rFonts w:ascii="arial" w:eastAsia="arial" w:hAnsi="arial" w:cs="arial"/>
          <w:b w:val="0"/>
          <w:i/>
          <w:strike w:val="0"/>
          <w:noProof w:val="0"/>
          <w:color w:val="000000"/>
          <w:position w:val="0"/>
          <w:sz w:val="18"/>
          <w:u w:val="none"/>
          <w:vertAlign w:val="baseline"/>
        </w:rPr>
        <w:t>But cf.</w:t>
      </w:r>
      <w:r>
        <w:rPr>
          <w:rFonts w:ascii="arial" w:eastAsia="arial" w:hAnsi="arial" w:cs="arial"/>
          <w:b w:val="0"/>
          <w:i w:val="0"/>
          <w:strike w:val="0"/>
          <w:noProof w:val="0"/>
          <w:color w:val="000000"/>
          <w:position w:val="0"/>
          <w:sz w:val="18"/>
          <w:u w:val="none"/>
          <w:vertAlign w:val="baseline"/>
        </w:rPr>
        <w:t xml:space="preserve"> </w:t>
      </w:r>
      <w:hyperlink r:id="rId267" w:history="1">
        <w:r>
          <w:rPr>
            <w:rFonts w:ascii="arial" w:eastAsia="arial" w:hAnsi="arial" w:cs="arial"/>
            <w:b w:val="0"/>
            <w:i/>
            <w:strike w:val="0"/>
            <w:noProof w:val="0"/>
            <w:color w:val="0077CC"/>
            <w:position w:val="0"/>
            <w:sz w:val="18"/>
            <w:u w:val="single"/>
            <w:shd w:val="clear" w:color="auto" w:fill="FFFFFF"/>
            <w:vertAlign w:val="baseline"/>
          </w:rPr>
          <w:t>Noriega-Lopez v. Ashcroft, 335 F.3d 874 (9th Cir. 2003)</w:t>
        </w:r>
      </w:hyperlink>
      <w:r>
        <w:rPr>
          <w:rFonts w:ascii="arial" w:eastAsia="arial" w:hAnsi="arial" w:cs="arial"/>
          <w:b w:val="0"/>
          <w:i w:val="0"/>
          <w:strike w:val="0"/>
          <w:noProof w:val="0"/>
          <w:color w:val="000000"/>
          <w:position w:val="0"/>
          <w:sz w:val="18"/>
          <w:u w:val="none"/>
          <w:vertAlign w:val="baseline"/>
        </w:rPr>
        <w:t xml:space="preserve"> (petitioner deported after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denied, but court retained jurisdiction to review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denial).</w:t>
      </w:r>
    </w:p>
  </w:footnote>
  <w:footnote w:id="169">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169 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 104.04[5][d], [7] (choice of forum and mootness).</w:t>
      </w:r>
    </w:p>
  </w:footnote>
  <w:footnote w:id="17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170 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494–95 (1973)</w:t>
        </w:r>
      </w:hyperlink>
      <w:r>
        <w:rPr>
          <w:rFonts w:ascii="arial" w:eastAsia="arial" w:hAnsi="arial" w:cs="arial"/>
          <w:b w:val="0"/>
          <w:i w:val="0"/>
          <w:strike w:val="0"/>
          <w:noProof w:val="0"/>
          <w:color w:val="000000"/>
          <w:position w:val="0"/>
          <w:sz w:val="18"/>
          <w:u w:val="none"/>
          <w:vertAlign w:val="baseline"/>
        </w:rPr>
        <w:t xml:space="preserve">; </w:t>
      </w:r>
      <w:hyperlink r:id="rId59" w:history="1">
        <w:r>
          <w:rPr>
            <w:rFonts w:ascii="arial" w:eastAsia="arial" w:hAnsi="arial" w:cs="arial"/>
            <w:b w:val="0"/>
            <w:i/>
            <w:strike w:val="0"/>
            <w:noProof w:val="0"/>
            <w:color w:val="0077CC"/>
            <w:position w:val="0"/>
            <w:sz w:val="18"/>
            <w:u w:val="single"/>
            <w:shd w:val="clear" w:color="auto" w:fill="FFFFFF"/>
            <w:vertAlign w:val="baseline"/>
          </w:rPr>
          <w:t>Subias v. Meese, 835 F.2d 1288, 1289 (9th Cir. 1987)</w:t>
        </w:r>
      </w:hyperlink>
      <w:r>
        <w:rPr>
          <w:rFonts w:ascii="arial" w:eastAsia="arial" w:hAnsi="arial" w:cs="arial"/>
          <w:b w:val="0"/>
          <w:i w:val="0"/>
          <w:strike w:val="0"/>
          <w:noProof w:val="0"/>
          <w:color w:val="000000"/>
          <w:position w:val="0"/>
          <w:sz w:val="18"/>
          <w:u w:val="none"/>
          <w:vertAlign w:val="baseline"/>
        </w:rPr>
        <w:t>.</w:t>
      </w:r>
    </w:p>
  </w:footnote>
  <w:footnote w:id="1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171 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497–98 (1973)</w:t>
        </w:r>
      </w:hyperlink>
      <w:r>
        <w:rPr>
          <w:rFonts w:ascii="arial" w:eastAsia="arial" w:hAnsi="arial" w:cs="arial"/>
          <w:b w:val="0"/>
          <w:i w:val="0"/>
          <w:strike w:val="0"/>
          <w:noProof w:val="0"/>
          <w:color w:val="000000"/>
          <w:position w:val="0"/>
          <w:sz w:val="18"/>
          <w:u w:val="none"/>
          <w:vertAlign w:val="baseline"/>
        </w:rPr>
        <w:t xml:space="preserve"> (Congress codified in </w:t>
      </w:r>
      <w:hyperlink r:id="rId269" w:history="1">
        <w:r>
          <w:rPr>
            <w:rFonts w:ascii="arial" w:eastAsia="arial" w:hAnsi="arial" w:cs="arial"/>
            <w:b w:val="0"/>
            <w:i/>
            <w:strike w:val="0"/>
            <w:noProof w:val="0"/>
            <w:color w:val="0077CC"/>
            <w:position w:val="0"/>
            <w:sz w:val="18"/>
            <w:u w:val="single"/>
            <w:shd w:val="clear" w:color="auto" w:fill="FFFFFF"/>
            <w:vertAlign w:val="baseline"/>
          </w:rPr>
          <w:t>28 U.S.C. § 2243</w:t>
        </w:r>
      </w:hyperlink>
      <w:r>
        <w:rPr>
          <w:rFonts w:ascii="arial" w:eastAsia="arial" w:hAnsi="arial" w:cs="arial"/>
          <w:b w:val="0"/>
          <w:i w:val="0"/>
          <w:strike w:val="0"/>
          <w:noProof w:val="0"/>
          <w:color w:val="000000"/>
          <w:position w:val="0"/>
          <w:sz w:val="18"/>
          <w:u w:val="none"/>
          <w:vertAlign w:val="baseline"/>
        </w:rPr>
        <w:t xml:space="preserve"> the procedure the Court sanctioned in </w:t>
      </w:r>
      <w:hyperlink r:id="rId270" w:history="1">
        <w:r>
          <w:rPr>
            <w:rFonts w:ascii="arial" w:eastAsia="arial" w:hAnsi="arial" w:cs="arial"/>
            <w:b w:val="0"/>
            <w:i/>
            <w:strike w:val="0"/>
            <w:noProof w:val="0"/>
            <w:color w:val="0077CC"/>
            <w:position w:val="0"/>
            <w:sz w:val="18"/>
            <w:u w:val="single"/>
            <w:shd w:val="clear" w:color="auto" w:fill="FFFFFF"/>
            <w:vertAlign w:val="baseline"/>
          </w:rPr>
          <w:t>Walker v. Johnston</w:t>
        </w:r>
      </w:hyperlink>
      <w:hyperlink r:id="rId270" w:history="1">
        <w:r>
          <w:rPr>
            <w:rFonts w:ascii="arial" w:eastAsia="arial" w:hAnsi="arial" w:cs="arial"/>
            <w:b w:val="0"/>
            <w:i/>
            <w:strike w:val="0"/>
            <w:noProof w:val="0"/>
            <w:color w:val="0077CC"/>
            <w:position w:val="0"/>
            <w:sz w:val="18"/>
            <w:u w:val="single"/>
            <w:shd w:val="clear" w:color="auto" w:fill="FFFFFF"/>
            <w:vertAlign w:val="baseline"/>
          </w:rPr>
          <w:t>, 312 U.S. 275, 284 (1941)</w:t>
        </w:r>
      </w:hyperlink>
      <w:r>
        <w:rPr>
          <w:rFonts w:ascii="arial" w:eastAsia="arial" w:hAnsi="arial" w:cs="arial"/>
          <w:b w:val="0"/>
          <w:i w:val="0"/>
          <w:strike w:val="0"/>
          <w:noProof w:val="0"/>
          <w:color w:val="000000"/>
          <w:position w:val="0"/>
          <w:sz w:val="18"/>
          <w:u w:val="none"/>
          <w:vertAlign w:val="baseline"/>
        </w:rPr>
        <w:t xml:space="preserve">, whereby a petition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can be resolved without requiring the presence of the petitioner); </w:t>
      </w:r>
      <w:hyperlink r:id="rId271"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271" w:history="1">
        <w:r>
          <w:rPr>
            <w:rFonts w:ascii="arial" w:eastAsia="arial" w:hAnsi="arial" w:cs="arial"/>
            <w:b w:val="0"/>
            <w:i/>
            <w:strike w:val="0"/>
            <w:noProof w:val="0"/>
            <w:color w:val="0077CC"/>
            <w:position w:val="0"/>
            <w:sz w:val="18"/>
            <w:u w:val="single"/>
            <w:shd w:val="clear" w:color="auto" w:fill="FFFFFF"/>
            <w:vertAlign w:val="baseline"/>
          </w:rPr>
          <w:t xml:space="preserve"> Endo, 323 U.S. 283, 306 (1944)</w:t>
        </w:r>
      </w:hyperlink>
      <w:r>
        <w:rPr>
          <w:rFonts w:ascii="arial" w:eastAsia="arial" w:hAnsi="arial" w:cs="arial"/>
          <w:b w:val="0"/>
          <w:i w:val="0"/>
          <w:strike w:val="0"/>
          <w:noProof w:val="0"/>
          <w:color w:val="000000"/>
          <w:position w:val="0"/>
          <w:sz w:val="18"/>
          <w:u w:val="none"/>
          <w:vertAlign w:val="baseline"/>
        </w:rPr>
        <w:t xml:space="preserve"> (the court may act if there is a respondent within reach of its process who has custody of the petitioner);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60" w:history="1">
        <w:r>
          <w:rPr>
            <w:rFonts w:ascii="arial" w:eastAsia="arial" w:hAnsi="arial" w:cs="arial"/>
            <w:b w:val="0"/>
            <w:i/>
            <w:strike w:val="0"/>
            <w:noProof w:val="0"/>
            <w:color w:val="0077CC"/>
            <w:position w:val="0"/>
            <w:sz w:val="18"/>
            <w:u w:val="single"/>
            <w:shd w:val="clear" w:color="auto" w:fill="FFFFFF"/>
            <w:vertAlign w:val="baseline"/>
          </w:rPr>
          <w:t>Samirah v. O’Connell, 335 F.3d 545, 552 (7th Cir. 2003)</w:t>
        </w:r>
      </w:hyperlink>
      <w:r>
        <w:rPr>
          <w:rFonts w:ascii="arial" w:eastAsia="arial" w:hAnsi="arial" w:cs="arial"/>
          <w:b w:val="0"/>
          <w:i w:val="0"/>
          <w:strike w:val="0"/>
          <w:noProof w:val="0"/>
          <w:color w:val="000000"/>
          <w:position w:val="0"/>
          <w:sz w:val="18"/>
          <w:u w:val="none"/>
          <w:vertAlign w:val="baseline"/>
        </w:rPr>
        <w:t xml:space="preserve"> (citing this treatise) (“Court lacks jurisdiction because named custodian lacks day-to-day control over, or ability to produce, petitioner filing from outside the United States”); </w:t>
      </w:r>
      <w:hyperlink r:id="rId59" w:history="1">
        <w:r>
          <w:rPr>
            <w:rFonts w:ascii="arial" w:eastAsia="arial" w:hAnsi="arial" w:cs="arial"/>
            <w:b w:val="0"/>
            <w:i/>
            <w:strike w:val="0"/>
            <w:noProof w:val="0"/>
            <w:color w:val="0077CC"/>
            <w:position w:val="0"/>
            <w:sz w:val="18"/>
            <w:u w:val="single"/>
            <w:shd w:val="clear" w:color="auto" w:fill="FFFFFF"/>
            <w:vertAlign w:val="baseline"/>
          </w:rPr>
          <w:t>Subias v. Meese, 835 F.2d 1288, 1289 (9th Cir. 1987)</w:t>
        </w:r>
      </w:hyperlink>
      <w:r>
        <w:rPr>
          <w:rFonts w:ascii="arial" w:eastAsia="arial" w:hAnsi="arial" w:cs="arial"/>
          <w:b w:val="0"/>
          <w:i w:val="0"/>
          <w:strike w:val="0"/>
          <w:noProof w:val="0"/>
          <w:color w:val="000000"/>
          <w:position w:val="0"/>
          <w:sz w:val="18"/>
          <w:u w:val="none"/>
          <w:vertAlign w:val="baseline"/>
        </w:rPr>
        <w:t xml:space="preserve"> (petitioner alleged he had been “involuntarily removed” from the United States by federal officers acting in concert with Mexican authorities; his current custodian and whereabouts were unknown, and it did not appear that he was being held by U.S. officials, so court lacked jurisdiction).</w:t>
      </w:r>
    </w:p>
  </w:footnote>
  <w:footnote w:id="1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172 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494–95 (1973)</w:t>
        </w:r>
      </w:hyperlink>
      <w:r>
        <w:rPr>
          <w:rFonts w:ascii="arial" w:eastAsia="arial" w:hAnsi="arial" w:cs="arial"/>
          <w:b w:val="0"/>
          <w:i w:val="0"/>
          <w:strike w:val="0"/>
          <w:noProof w:val="0"/>
          <w:color w:val="000000"/>
          <w:position w:val="0"/>
          <w:sz w:val="18"/>
          <w:u w:val="none"/>
          <w:vertAlign w:val="baseline"/>
        </w:rPr>
        <w:t>.</w:t>
      </w:r>
    </w:p>
  </w:footnote>
  <w:footnote w:id="17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173 </w:t>
      </w:r>
      <w:hyperlink r:id="rId272" w:history="1">
        <w:r>
          <w:rPr>
            <w:rFonts w:ascii="arial" w:eastAsia="arial" w:hAnsi="arial" w:cs="arial"/>
            <w:b w:val="0"/>
            <w:i/>
            <w:strike w:val="0"/>
            <w:noProof w:val="0"/>
            <w:color w:val="0077CC"/>
            <w:position w:val="0"/>
            <w:sz w:val="18"/>
            <w:u w:val="single"/>
            <w:shd w:val="clear" w:color="auto" w:fill="FFFFFF"/>
            <w:vertAlign w:val="baseline"/>
          </w:rPr>
          <w:t>Wang v. Reno, 862 F. Supp. 801, 812 (E.D.N.Y. 1994)</w:t>
        </w:r>
      </w:hyperlink>
      <w:r>
        <w:rPr>
          <w:rFonts w:ascii="arial" w:eastAsia="arial" w:hAnsi="arial" w:cs="arial"/>
          <w:b w:val="0"/>
          <w:i w:val="0"/>
          <w:strike w:val="0"/>
          <w:noProof w:val="0"/>
          <w:color w:val="000000"/>
          <w:position w:val="0"/>
          <w:sz w:val="18"/>
          <w:u w:val="none"/>
          <w:vertAlign w:val="baseline"/>
        </w:rPr>
        <w:t xml:space="preserve"> (summarizing </w:t>
      </w:r>
      <w:r>
        <w:rPr>
          <w:rFonts w:ascii="arial" w:eastAsia="arial" w:hAnsi="arial" w:cs="arial"/>
          <w:b w:val="0"/>
          <w:i/>
          <w:strike w:val="0"/>
          <w:noProof w:val="0"/>
          <w:color w:val="000000"/>
          <w:position w:val="0"/>
          <w:sz w:val="18"/>
          <w:u w:val="none"/>
          <w:vertAlign w:val="baseline"/>
        </w:rPr>
        <w:t>Braden</w:t>
      </w:r>
      <w:r>
        <w:rPr>
          <w:rFonts w:ascii="arial" w:eastAsia="arial" w:hAnsi="arial" w:cs="arial"/>
          <w:b w:val="0"/>
          <w:i w:val="0"/>
          <w:strike w:val="0"/>
          <w:noProof w:val="0"/>
          <w:color w:val="000000"/>
          <w:position w:val="0"/>
          <w:sz w:val="18"/>
          <w:u w:val="none"/>
          <w:vertAlign w:val="baseline"/>
        </w:rPr>
        <w:t xml:space="preserve"> and </w:t>
      </w:r>
      <w:r>
        <w:rPr>
          <w:rFonts w:ascii="arial" w:eastAsia="arial" w:hAnsi="arial" w:cs="arial"/>
          <w:b w:val="0"/>
          <w:i/>
          <w:strike w:val="0"/>
          <w:noProof w:val="0"/>
          <w:color w:val="000000"/>
          <w:position w:val="0"/>
          <w:sz w:val="18"/>
          <w:u w:val="none"/>
          <w:vertAlign w:val="baseline"/>
        </w:rPr>
        <w:t>Endo</w:t>
      </w:r>
      <w:r>
        <w:rPr>
          <w:rFonts w:ascii="arial" w:eastAsia="arial" w:hAnsi="arial" w:cs="arial"/>
          <w:b w:val="0"/>
          <w:i w:val="0"/>
          <w:strike w:val="0"/>
          <w:noProof w:val="0"/>
          <w:color w:val="000000"/>
          <w:position w:val="0"/>
          <w:sz w:val="18"/>
          <w:u w:val="none"/>
          <w:vertAlign w:val="baseline"/>
        </w:rPr>
        <w:t>).</w:t>
      </w:r>
    </w:p>
  </w:footnote>
  <w:footnote w:id="1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174 </w:t>
      </w:r>
      <w:hyperlink r:id="rId271"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271" w:history="1">
        <w:r>
          <w:rPr>
            <w:rFonts w:ascii="arial" w:eastAsia="arial" w:hAnsi="arial" w:cs="arial"/>
            <w:b w:val="0"/>
            <w:i/>
            <w:strike w:val="0"/>
            <w:noProof w:val="0"/>
            <w:color w:val="0077CC"/>
            <w:position w:val="0"/>
            <w:sz w:val="18"/>
            <w:u w:val="single"/>
            <w:shd w:val="clear" w:color="auto" w:fill="FFFFFF"/>
            <w:vertAlign w:val="baseline"/>
          </w:rPr>
          <w:t xml:space="preserve"> Endo, 323 U.S. 283, 306 (1944)</w:t>
        </w:r>
      </w:hyperlink>
      <w:r>
        <w:rPr>
          <w:rFonts w:ascii="arial" w:eastAsia="arial" w:hAnsi="arial" w:cs="arial"/>
          <w:b w:val="0"/>
          <w:i w:val="0"/>
          <w:strike w:val="0"/>
          <w:noProof w:val="0"/>
          <w:color w:val="000000"/>
          <w:position w:val="0"/>
          <w:sz w:val="18"/>
          <w:u w:val="none"/>
          <w:vertAlign w:val="baseline"/>
        </w:rPr>
        <w:t>.</w:t>
      </w:r>
    </w:p>
  </w:footnote>
  <w:footnote w:id="1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175 </w:t>
      </w:r>
      <w:hyperlink r:id="rId273" w:history="1">
        <w:r>
          <w:rPr>
            <w:rFonts w:ascii="arial" w:eastAsia="arial" w:hAnsi="arial" w:cs="arial"/>
            <w:b w:val="0"/>
            <w:i/>
            <w:strike w:val="0"/>
            <w:noProof w:val="0"/>
            <w:color w:val="0077CC"/>
            <w:position w:val="0"/>
            <w:sz w:val="18"/>
            <w:u w:val="single"/>
            <w:shd w:val="clear" w:color="auto" w:fill="FFFFFF"/>
            <w:vertAlign w:val="baseline"/>
          </w:rPr>
          <w:t>Demjanjuk v. Meese, 784 F.2d 1114, 1115 (D.C. Cir. 1986)</w:t>
        </w:r>
      </w:hyperlink>
      <w:r>
        <w:rPr>
          <w:rFonts w:ascii="arial" w:eastAsia="arial" w:hAnsi="arial" w:cs="arial"/>
          <w:b w:val="0"/>
          <w:i w:val="0"/>
          <w:strike w:val="0"/>
          <w:noProof w:val="0"/>
          <w:color w:val="000000"/>
          <w:position w:val="0"/>
          <w:sz w:val="18"/>
          <w:u w:val="none"/>
          <w:vertAlign w:val="baseline"/>
        </w:rPr>
        <w:t xml:space="preserve"> (citing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494–95 (1973))</w:t>
        </w:r>
      </w:hyperlink>
      <w:r>
        <w:rPr>
          <w:rFonts w:ascii="arial" w:eastAsia="arial" w:hAnsi="arial" w:cs="arial"/>
          <w:b w:val="0"/>
          <w:i w:val="0"/>
          <w:strike w:val="0"/>
          <w:noProof w:val="0"/>
          <w:color w:val="000000"/>
          <w:position w:val="0"/>
          <w:sz w:val="18"/>
          <w:u w:val="none"/>
          <w:vertAlign w:val="baseline"/>
        </w:rPr>
        <w:t>.</w:t>
      </w:r>
    </w:p>
  </w:footnote>
  <w:footnote w:id="17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176 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2241(b)</w:t>
        </w:r>
      </w:hyperlink>
      <w:r>
        <w:rPr>
          <w:rFonts w:ascii="arial" w:eastAsia="arial" w:hAnsi="arial" w:cs="arial"/>
          <w:b w:val="0"/>
          <w:i w:val="0"/>
          <w:strike w:val="0"/>
          <w:noProof w:val="0"/>
          <w:color w:val="000000"/>
          <w:position w:val="0"/>
          <w:sz w:val="18"/>
          <w:u w:val="none"/>
          <w:vertAlign w:val="baseline"/>
        </w:rPr>
        <w:t xml:space="preserve">; </w:t>
      </w:r>
      <w:hyperlink r:id="rId273" w:history="1">
        <w:r>
          <w:rPr>
            <w:rFonts w:ascii="arial" w:eastAsia="arial" w:hAnsi="arial" w:cs="arial"/>
            <w:b w:val="0"/>
            <w:i/>
            <w:strike w:val="0"/>
            <w:noProof w:val="0"/>
            <w:color w:val="0077CC"/>
            <w:position w:val="0"/>
            <w:sz w:val="18"/>
            <w:u w:val="single"/>
            <w:shd w:val="clear" w:color="auto" w:fill="FFFFFF"/>
            <w:vertAlign w:val="baseline"/>
          </w:rPr>
          <w:t>Demjanjuk v. Meese, 784 F.2d 1114, 1115 (D.C. Cir. 1986)</w:t>
        </w:r>
      </w:hyperlink>
      <w:r>
        <w:rPr>
          <w:rFonts w:ascii="arial" w:eastAsia="arial" w:hAnsi="arial" w:cs="arial"/>
          <w:b w:val="0"/>
          <w:i w:val="0"/>
          <w:strike w:val="0"/>
          <w:noProof w:val="0"/>
          <w:color w:val="000000"/>
          <w:position w:val="0"/>
          <w:sz w:val="18"/>
          <w:u w:val="none"/>
          <w:vertAlign w:val="baseline"/>
        </w:rPr>
        <w:t xml:space="preserve"> (declining to transfer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application because it was “absolutely clear” that Demjanjuk was not entitled to the writ; because of the imminence of his extradition to Israel; and because Demjanjuk was in the custody of a U.S. marshal in a “confidential location” that was unknown to his attorneys).</w:t>
      </w:r>
    </w:p>
  </w:footnote>
  <w:footnote w:id="1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177 </w:t>
      </w:r>
      <w:hyperlink r:id="rId274" w:history="1">
        <w:r>
          <w:rPr>
            <w:rFonts w:ascii="arial" w:eastAsia="arial" w:hAnsi="arial" w:cs="arial"/>
            <w:b w:val="0"/>
            <w:i/>
            <w:strike w:val="0"/>
            <w:noProof w:val="0"/>
            <w:color w:val="0077CC"/>
            <w:position w:val="0"/>
            <w:sz w:val="18"/>
            <w:u w:val="single"/>
            <w:shd w:val="clear" w:color="auto" w:fill="FFFFFF"/>
            <w:vertAlign w:val="baseline"/>
          </w:rPr>
          <w:t>Mojica v. Reno, 970 F. Supp. 130, 166–67 (E.D.N.Y. 1997)</w:t>
        </w:r>
      </w:hyperlink>
      <w:r>
        <w:rPr>
          <w:rFonts w:ascii="arial" w:eastAsia="arial" w:hAnsi="arial" w:cs="arial"/>
          <w:b w:val="0"/>
          <w:i w:val="0"/>
          <w:strike w:val="0"/>
          <w:noProof w:val="0"/>
          <w:color w:val="000000"/>
          <w:position w:val="0"/>
          <w:sz w:val="18"/>
          <w:u w:val="none"/>
          <w:vertAlign w:val="baseline"/>
        </w:rPr>
        <w:t xml:space="preserve"> (the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statute does not specify who the person having custody will be, nor does it state that there may be only one custodian; the Attorney General is one of several custodians),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Megan A. Ferstenfeld-Torres, </w:t>
      </w:r>
      <w:r>
        <w:rPr>
          <w:rFonts w:ascii="arial" w:eastAsia="arial" w:hAnsi="arial" w:cs="arial"/>
          <w:b w:val="0"/>
          <w:i/>
          <w:strike w:val="0"/>
          <w:noProof w:val="0"/>
          <w:color w:val="000000"/>
          <w:position w:val="0"/>
          <w:sz w:val="18"/>
          <w:u w:val="none"/>
          <w:vertAlign w:val="baseline"/>
        </w:rPr>
        <w:t xml:space="preserve">Who are We to Name? The Applicability of the “Immediate-Custodian-as-Respondent” Rule to Alien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Claims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w:t>
      </w:r>
      <w:hyperlink r:id="rId275" w:history="1">
        <w:r>
          <w:rPr>
            <w:rFonts w:ascii="arial" w:eastAsia="arial" w:hAnsi="arial" w:cs="arial"/>
            <w:b w:val="0"/>
            <w:i/>
            <w:strike w:val="0"/>
            <w:noProof w:val="0"/>
            <w:color w:val="0077CC"/>
            <w:position w:val="0"/>
            <w:sz w:val="18"/>
            <w:u w:val="single"/>
            <w:shd w:val="clear" w:color="auto" w:fill="FFFFFF"/>
            <w:vertAlign w:val="baseline"/>
          </w:rPr>
          <w:t>17 Geo. Immigr. L.J. 431 (2003)</w:t>
        </w:r>
      </w:hyperlink>
      <w:r>
        <w:rPr>
          <w:rFonts w:ascii="arial" w:eastAsia="arial" w:hAnsi="arial" w:cs="arial"/>
          <w:b w:val="0"/>
          <w:i w:val="0"/>
          <w:strike w:val="0"/>
          <w:noProof w:val="0"/>
          <w:color w:val="000000"/>
          <w:position w:val="0"/>
          <w:sz w:val="18"/>
          <w:u w:val="none"/>
          <w:vertAlign w:val="baseline"/>
        </w:rPr>
        <w:t>.</w:t>
      </w:r>
    </w:p>
  </w:footnote>
  <w:footnote w:id="1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178 </w:t>
      </w:r>
      <w:hyperlink r:id="rId276" w:history="1">
        <w:r>
          <w:rPr>
            <w:rFonts w:ascii="arial" w:eastAsia="arial" w:hAnsi="arial" w:cs="arial"/>
            <w:b w:val="0"/>
            <w:i/>
            <w:strike w:val="0"/>
            <w:noProof w:val="0"/>
            <w:color w:val="0077CC"/>
            <w:position w:val="0"/>
            <w:sz w:val="18"/>
            <w:u w:val="single"/>
            <w:shd w:val="clear" w:color="auto" w:fill="FFFFFF"/>
            <w:vertAlign w:val="baseline"/>
          </w:rPr>
          <w:t>Nwankwo v. Reno, 828 F. Supp 171, 174 (E.D.N.Y. 1993)</w:t>
        </w:r>
      </w:hyperlink>
      <w:r>
        <w:rPr>
          <w:rFonts w:ascii="arial" w:eastAsia="arial" w:hAnsi="arial" w:cs="arial"/>
          <w:b w:val="0"/>
          <w:i w:val="0"/>
          <w:strike w:val="0"/>
          <w:noProof w:val="0"/>
          <w:color w:val="000000"/>
          <w:position w:val="0"/>
          <w:sz w:val="18"/>
          <w:u w:val="none"/>
          <w:vertAlign w:val="baseline"/>
        </w:rPr>
        <w:t xml:space="preserve"> (citing </w:t>
      </w:r>
      <w:hyperlink r:id="rId269" w:history="1">
        <w:r>
          <w:rPr>
            <w:rFonts w:ascii="arial" w:eastAsia="arial" w:hAnsi="arial" w:cs="arial"/>
            <w:b w:val="0"/>
            <w:i/>
            <w:strike w:val="0"/>
            <w:noProof w:val="0"/>
            <w:color w:val="0077CC"/>
            <w:position w:val="0"/>
            <w:sz w:val="18"/>
            <w:u w:val="single"/>
            <w:shd w:val="clear" w:color="auto" w:fill="FFFFFF"/>
            <w:vertAlign w:val="baseline"/>
          </w:rPr>
          <w:t>28 U.S.C. § 2243</w:t>
        </w:r>
      </w:hyperlink>
      <w:r>
        <w:rPr>
          <w:rFonts w:ascii="arial" w:eastAsia="arial" w:hAnsi="arial" w:cs="arial"/>
          <w:b w:val="0"/>
          <w:i w:val="0"/>
          <w:strike w:val="0"/>
          <w:noProof w:val="0"/>
          <w:color w:val="000000"/>
          <w:position w:val="0"/>
          <w:sz w:val="18"/>
          <w:u w:val="none"/>
          <w:vertAlign w:val="baseline"/>
        </w:rPr>
        <w:t>).</w:t>
      </w:r>
    </w:p>
  </w:footnote>
  <w:footnote w:id="17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179 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 xml:space="preserve"> (discussing issue at length, and noting, at 124, that the rules treating the immediate custodian as the only proper respondent and that person’s situs as the sole correct venue have not been applied consistently or rigidly); </w:t>
      </w:r>
      <w:hyperlink r:id="rId272" w:history="1">
        <w:r>
          <w:rPr>
            <w:rFonts w:ascii="arial" w:eastAsia="arial" w:hAnsi="arial" w:cs="arial"/>
            <w:b w:val="0"/>
            <w:i/>
            <w:strike w:val="0"/>
            <w:noProof w:val="0"/>
            <w:color w:val="0077CC"/>
            <w:position w:val="0"/>
            <w:sz w:val="18"/>
            <w:u w:val="single"/>
            <w:shd w:val="clear" w:color="auto" w:fill="FFFFFF"/>
            <w:vertAlign w:val="baseline"/>
          </w:rPr>
          <w:t>Wang v. Reno, 862 F. Supp. 801, 812–13 (E.D.N.Y. 1994)</w:t>
        </w:r>
      </w:hyperlink>
      <w:r>
        <w:rPr>
          <w:rFonts w:ascii="arial" w:eastAsia="arial" w:hAnsi="arial" w:cs="arial"/>
          <w:b w:val="0"/>
          <w:i w:val="0"/>
          <w:strike w:val="0"/>
          <w:noProof w:val="0"/>
          <w:color w:val="000000"/>
          <w:position w:val="0"/>
          <w:sz w:val="18"/>
          <w:u w:val="none"/>
          <w:vertAlign w:val="baseline"/>
        </w:rPr>
        <w:t xml:space="preserve"> (collecting cases); </w:t>
      </w:r>
      <w:r>
        <w:rPr>
          <w:rFonts w:ascii="arial" w:eastAsia="arial" w:hAnsi="arial" w:cs="arial"/>
          <w:b w:val="0"/>
          <w:i/>
          <w:strike w:val="0"/>
          <w:noProof w:val="0"/>
          <w:color w:val="000000"/>
          <w:position w:val="0"/>
          <w:sz w:val="18"/>
          <w:u w:val="none"/>
          <w:vertAlign w:val="baseline"/>
        </w:rPr>
        <w:t>accord</w:t>
      </w:r>
      <w:r>
        <w:rPr>
          <w:rFonts w:ascii="arial" w:eastAsia="arial" w:hAnsi="arial" w:cs="arial"/>
          <w:b w:val="0"/>
          <w:i w:val="0"/>
          <w:strike w:val="0"/>
          <w:noProof w:val="0"/>
          <w:color w:val="000000"/>
          <w:position w:val="0"/>
          <w:sz w:val="18"/>
          <w:u w:val="none"/>
          <w:vertAlign w:val="baseline"/>
        </w:rPr>
        <w:t xml:space="preserve"> </w:t>
      </w:r>
      <w:hyperlink r:id="rId277" w:history="1">
        <w:r>
          <w:rPr>
            <w:rFonts w:ascii="arial" w:eastAsia="arial" w:hAnsi="arial" w:cs="arial"/>
            <w:b w:val="0"/>
            <w:i/>
            <w:strike w:val="0"/>
            <w:noProof w:val="0"/>
            <w:color w:val="0077CC"/>
            <w:position w:val="0"/>
            <w:sz w:val="18"/>
            <w:u w:val="single"/>
            <w:shd w:val="clear" w:color="auto" w:fill="FFFFFF"/>
            <w:vertAlign w:val="baseline"/>
          </w:rPr>
          <w:t>Padilla v. Rumsfeld, 352 F.3d 695, 704 (2d Cir.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rev’d another grounds</w:t>
      </w:r>
      <w:r>
        <w:rPr>
          <w:rFonts w:ascii="arial" w:eastAsia="arial" w:hAnsi="arial" w:cs="arial"/>
          <w:b w:val="0"/>
          <w:i w:val="0"/>
          <w:strike w:val="0"/>
          <w:noProof w:val="0"/>
          <w:color w:val="000000"/>
          <w:position w:val="0"/>
          <w:sz w:val="18"/>
          <w:u w:val="none"/>
          <w:vertAlign w:val="baseline"/>
        </w:rPr>
        <w:t xml:space="preserve">, </w:t>
      </w:r>
      <w:hyperlink r:id="rId229" w:history="1">
        <w:r>
          <w:rPr>
            <w:rFonts w:ascii="arial" w:eastAsia="arial" w:hAnsi="arial" w:cs="arial"/>
            <w:b w:val="0"/>
            <w:i/>
            <w:strike w:val="0"/>
            <w:noProof w:val="0"/>
            <w:color w:val="0077CC"/>
            <w:position w:val="0"/>
            <w:sz w:val="18"/>
            <w:u w:val="single"/>
            <w:shd w:val="clear" w:color="auto" w:fill="FFFFFF"/>
            <w:vertAlign w:val="baseline"/>
          </w:rPr>
          <w:t>542 U.S. 426 (2004)</w:t>
        </w:r>
      </w:hyperlink>
      <w:r>
        <w:rPr>
          <w:rFonts w:ascii="arial" w:eastAsia="arial" w:hAnsi="arial" w:cs="arial"/>
          <w:b w:val="0"/>
          <w:i w:val="0"/>
          <w:strike w:val="0"/>
          <w:noProof w:val="0"/>
          <w:color w:val="000000"/>
          <w:position w:val="0"/>
          <w:sz w:val="18"/>
          <w:u w:val="none"/>
          <w:vertAlign w:val="baseline"/>
        </w:rPr>
        <w:t>.</w:t>
      </w:r>
    </w:p>
  </w:footnote>
  <w:footnote w:id="1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180 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495, 499 (1973)</w:t>
        </w:r>
      </w:hyperlink>
      <w:r>
        <w:rPr>
          <w:rFonts w:ascii="arial" w:eastAsia="arial" w:hAnsi="arial" w:cs="arial"/>
          <w:b w:val="0"/>
          <w:i w:val="0"/>
          <w:strike w:val="0"/>
          <w:noProof w:val="0"/>
          <w:color w:val="000000"/>
          <w:position w:val="0"/>
          <w:sz w:val="18"/>
          <w:u w:val="none"/>
          <w:vertAlign w:val="baseline"/>
        </w:rPr>
        <w:t xml:space="preserve">; </w:t>
      </w:r>
      <w:hyperlink r:id="rId274" w:history="1">
        <w:r>
          <w:rPr>
            <w:rFonts w:ascii="arial" w:eastAsia="arial" w:hAnsi="arial" w:cs="arial"/>
            <w:b w:val="0"/>
            <w:i/>
            <w:strike w:val="0"/>
            <w:noProof w:val="0"/>
            <w:color w:val="0077CC"/>
            <w:position w:val="0"/>
            <w:sz w:val="18"/>
            <w:u w:val="single"/>
            <w:shd w:val="clear" w:color="auto" w:fill="FFFFFF"/>
            <w:vertAlign w:val="baseline"/>
          </w:rPr>
          <w:t>Mojica v. Reno, 970 F. Supp. 130, 165–66 (E.D.N.Y. 1997)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 xml:space="preserve">; </w:t>
      </w:r>
      <w:hyperlink r:id="rId278" w:history="1">
        <w:r>
          <w:rPr>
            <w:rFonts w:ascii="arial" w:eastAsia="arial" w:hAnsi="arial" w:cs="arial"/>
            <w:b w:val="0"/>
            <w:i/>
            <w:strike w:val="0"/>
            <w:noProof w:val="0"/>
            <w:color w:val="0077CC"/>
            <w:position w:val="0"/>
            <w:sz w:val="18"/>
            <w:u w:val="single"/>
            <w:shd w:val="clear" w:color="auto" w:fill="FFFFFF"/>
            <w:vertAlign w:val="baseline"/>
          </w:rPr>
          <w:t>Yesil v. Reno, 958 F. Supp. 828, 835–36 (S.D.N.Y. 1997)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aff’d on other grounds and issue certified to New York Court of Appeals in</w:t>
      </w:r>
      <w:hyperlink r:id="rId138" w:history="1">
        <w:r>
          <w:rPr>
            <w:rFonts w:ascii="arial" w:eastAsia="arial" w:hAnsi="arial" w:cs="arial"/>
            <w:b w:val="0"/>
            <w:i/>
            <w:strike w:val="0"/>
            <w:noProof w:val="0"/>
            <w:color w:val="0077CC"/>
            <w:position w:val="0"/>
            <w:sz w:val="18"/>
            <w:u w:val="single"/>
            <w:shd w:val="clear" w:color="auto" w:fill="FFFFFF"/>
            <w:vertAlign w:val="baseline"/>
          </w:rPr>
          <w:t xml:space="preserve"> Henderson v. INS, 157 F.3d 106, 122–24 (2d Cir. 1998)</w:t>
        </w:r>
      </w:hyperlink>
      <w:r>
        <w:rPr>
          <w:rFonts w:ascii="arial" w:eastAsia="arial" w:hAnsi="arial" w:cs="arial"/>
          <w:b w:val="0"/>
          <w:i w:val="0"/>
          <w:strike w:val="0"/>
          <w:noProof w:val="0"/>
          <w:color w:val="000000"/>
          <w:position w:val="0"/>
          <w:sz w:val="18"/>
          <w:u w:val="none"/>
          <w:vertAlign w:val="baseline"/>
        </w:rPr>
        <w:t>.</w:t>
      </w:r>
    </w:p>
  </w:footnote>
  <w:footnote w:id="18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181 </w:t>
      </w:r>
      <w:hyperlink r:id="rId279" w:history="1">
        <w:r>
          <w:rPr>
            <w:rFonts w:ascii="arial" w:eastAsia="arial" w:hAnsi="arial" w:cs="arial"/>
            <w:b w:val="0"/>
            <w:i/>
            <w:strike w:val="0"/>
            <w:noProof w:val="0"/>
            <w:color w:val="0077CC"/>
            <w:position w:val="0"/>
            <w:sz w:val="18"/>
            <w:u w:val="single"/>
            <w:shd w:val="clear" w:color="auto" w:fill="FFFFFF"/>
            <w:vertAlign w:val="baseline"/>
          </w:rPr>
          <w:t>Chavez-Rivas v. Olsen, 194 F. Supp. 2d 368, 376 (D.N.J. 2002)</w:t>
        </w:r>
      </w:hyperlink>
      <w:r>
        <w:rPr>
          <w:rFonts w:ascii="arial" w:eastAsia="arial" w:hAnsi="arial" w:cs="arial"/>
          <w:b w:val="0"/>
          <w:i w:val="0"/>
          <w:strike w:val="0"/>
          <w:noProof w:val="0"/>
          <w:color w:val="000000"/>
          <w:position w:val="0"/>
          <w:sz w:val="18"/>
          <w:u w:val="none"/>
          <w:vertAlign w:val="baseline"/>
        </w:rPr>
        <w:t xml:space="preserve"> (“where an INS-detained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petitioner properly files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in the district where he is incarcerated, and the petitioner is subsequently transferred to a facility outside of that district, the Attorney General of the United States may be deemed ‘custodian’ to allow the original District Court to retain jurisdiction over 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w:t>
      </w:r>
    </w:p>
  </w:footnote>
  <w:footnote w:id="18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182 </w:t>
      </w:r>
      <w:hyperlink r:id="rId278" w:history="1">
        <w:r>
          <w:rPr>
            <w:rFonts w:ascii="arial" w:eastAsia="arial" w:hAnsi="arial" w:cs="arial"/>
            <w:b w:val="0"/>
            <w:i/>
            <w:strike w:val="0"/>
            <w:noProof w:val="0"/>
            <w:color w:val="0077CC"/>
            <w:position w:val="0"/>
            <w:sz w:val="18"/>
            <w:u w:val="single"/>
            <w:shd w:val="clear" w:color="auto" w:fill="FFFFFF"/>
            <w:vertAlign w:val="baseline"/>
          </w:rPr>
          <w:t>Yesil v. Reno, 958 F. Supp. 828, 835–36 (S.D.N.Y. 1997)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122–24 (2d Cir. 1998)</w:t>
        </w:r>
      </w:hyperlink>
      <w:r>
        <w:rPr>
          <w:rFonts w:ascii="arial" w:eastAsia="arial" w:hAnsi="arial" w:cs="arial"/>
          <w:b w:val="0"/>
          <w:i w:val="0"/>
          <w:strike w:val="0"/>
          <w:noProof w:val="0"/>
          <w:color w:val="000000"/>
          <w:position w:val="0"/>
          <w:sz w:val="18"/>
          <w:u w:val="none"/>
          <w:vertAlign w:val="baseline"/>
        </w:rPr>
        <w:t xml:space="preserve"> (New York district court held jurisdiction even where New Orleans District Director released petitioner on bond, holding that the New York District Director had “purposefully thrust himself” into the court’s jurisdiction by, among other things, communicating and negotiating with [petitioner’s] counsel”);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80" w:history="1">
        <w:r>
          <w:rPr>
            <w:rFonts w:ascii="arial" w:eastAsia="arial" w:hAnsi="arial" w:cs="arial"/>
            <w:b w:val="0"/>
            <w:i/>
            <w:strike w:val="0"/>
            <w:noProof w:val="0"/>
            <w:color w:val="0077CC"/>
            <w:position w:val="0"/>
            <w:sz w:val="18"/>
            <w:u w:val="single"/>
            <w:shd w:val="clear" w:color="auto" w:fill="FFFFFF"/>
            <w:vertAlign w:val="baseline"/>
          </w:rPr>
          <w:t>Diallo v. Holmes, 288 F. Supp. 2d 442, 445 (S.D.N.Y. 2003)</w:t>
        </w:r>
      </w:hyperlink>
      <w:r>
        <w:rPr>
          <w:rFonts w:ascii="arial" w:eastAsia="arial" w:hAnsi="arial" w:cs="arial"/>
          <w:b w:val="0"/>
          <w:i w:val="0"/>
          <w:strike w:val="0"/>
          <w:noProof w:val="0"/>
          <w:color w:val="000000"/>
          <w:position w:val="0"/>
          <w:sz w:val="18"/>
          <w:u w:val="none"/>
          <w:vertAlign w:val="baseline"/>
        </w:rPr>
        <w:t xml:space="preserve"> (personal jurisdiction over District Director based on New York law granting jurisdiction over persons within the state); </w:t>
      </w:r>
      <w:hyperlink r:id="rId281" w:history="1">
        <w:r>
          <w:rPr>
            <w:rFonts w:ascii="arial" w:eastAsia="arial" w:hAnsi="arial" w:cs="arial"/>
            <w:b w:val="0"/>
            <w:i/>
            <w:strike w:val="0"/>
            <w:noProof w:val="0"/>
            <w:color w:val="0077CC"/>
            <w:position w:val="0"/>
            <w:sz w:val="18"/>
            <w:u w:val="single"/>
            <w:shd w:val="clear" w:color="auto" w:fill="FFFFFF"/>
            <w:vertAlign w:val="baseline"/>
          </w:rPr>
          <w:t>Eltayeb v. Ingham, 950 F. Supp. 95 (S.D.N.Y. 1997)</w:t>
        </w:r>
      </w:hyperlink>
      <w:r>
        <w:rPr>
          <w:rFonts w:ascii="arial" w:eastAsia="arial" w:hAnsi="arial" w:cs="arial"/>
          <w:b w:val="0"/>
          <w:i w:val="0"/>
          <w:strike w:val="0"/>
          <w:noProof w:val="0"/>
          <w:color w:val="000000"/>
          <w:position w:val="0"/>
          <w:sz w:val="18"/>
          <w:u w:val="none"/>
          <w:vertAlign w:val="baseline"/>
        </w:rPr>
        <w:t xml:space="preserve"> (same). </w:t>
      </w:r>
      <w:r>
        <w:rPr>
          <w:rFonts w:ascii="arial" w:eastAsia="arial" w:hAnsi="arial" w:cs="arial"/>
          <w:b w:val="0"/>
          <w:i/>
          <w:strike w:val="0"/>
          <w:noProof w:val="0"/>
          <w:color w:val="000000"/>
          <w:position w:val="0"/>
          <w:sz w:val="18"/>
          <w:u w:val="none"/>
          <w:vertAlign w:val="baseline"/>
        </w:rPr>
        <w:t>But cf.</w:t>
      </w:r>
      <w:r>
        <w:rPr>
          <w:rFonts w:ascii="arial" w:eastAsia="arial" w:hAnsi="arial" w:cs="arial"/>
          <w:b w:val="0"/>
          <w:i w:val="0"/>
          <w:strike w:val="0"/>
          <w:noProof w:val="0"/>
          <w:color w:val="000000"/>
          <w:position w:val="0"/>
          <w:sz w:val="18"/>
          <w:u w:val="none"/>
          <w:vertAlign w:val="baseline"/>
        </w:rPr>
        <w:t xml:space="preserve"> </w:t>
      </w:r>
      <w:hyperlink r:id="rId282" w:history="1">
        <w:r>
          <w:rPr>
            <w:rFonts w:ascii="arial" w:eastAsia="arial" w:hAnsi="arial" w:cs="arial"/>
            <w:b w:val="0"/>
            <w:i/>
            <w:strike w:val="0"/>
            <w:noProof w:val="0"/>
            <w:color w:val="0077CC"/>
            <w:position w:val="0"/>
            <w:sz w:val="18"/>
            <w:u w:val="single"/>
            <w:shd w:val="clear" w:color="auto" w:fill="FFFFFF"/>
            <w:vertAlign w:val="baseline"/>
          </w:rPr>
          <w:t>Pearce v. Ashcroft, 2003 U.S. Dist. LEXIS 3735 (D. Conn. Mar. 12, 2003)</w:t>
        </w:r>
      </w:hyperlink>
      <w:r>
        <w:rPr>
          <w:rFonts w:ascii="arial" w:eastAsia="arial" w:hAnsi="arial" w:cs="arial"/>
          <w:b w:val="0"/>
          <w:i w:val="0"/>
          <w:strike w:val="0"/>
          <w:noProof w:val="0"/>
          <w:color w:val="000000"/>
          <w:position w:val="0"/>
          <w:sz w:val="18"/>
          <w:u w:val="none"/>
          <w:vertAlign w:val="baseline"/>
        </w:rPr>
        <w:t xml:space="preserve"> (petitioner placed in removal proceedings in Connecticut but detained in Louisiana could not name the INS District Director in Louisiana as a respondent because the District Director had not conducted business within the state of Connecticut whereby the district court would gain jurisdiction over her; however, naming the District Director on a petition filed in Louisiana would be appropriate).</w:t>
      </w:r>
    </w:p>
  </w:footnote>
  <w:footnote w:id="18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183 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 xml:space="preserve"> (discussing both sides of the issue at length, but avoiding deciding it);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Rachel E. Rosenbloom, </w:t>
      </w:r>
      <w:r>
        <w:rPr>
          <w:rFonts w:ascii="arial" w:eastAsia="arial" w:hAnsi="arial" w:cs="arial"/>
          <w:b w:val="0"/>
          <w:i/>
          <w:strike w:val="0"/>
          <w:noProof w:val="0"/>
          <w:color w:val="000000"/>
          <w:position w:val="0"/>
          <w:sz w:val="18"/>
          <w:u w:val="none"/>
          <w:vertAlign w:val="baseline"/>
        </w:rPr>
        <w:t xml:space="preserve">Is the Attorney General the Custodian of an INS Detainee? Personal Jurisdiction and the “Immediate Custodian” Rule in Immigration-Related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Actions</w:t>
      </w:r>
      <w:r>
        <w:rPr>
          <w:rFonts w:ascii="arial" w:eastAsia="arial" w:hAnsi="arial" w:cs="arial"/>
          <w:b w:val="0"/>
          <w:i w:val="0"/>
          <w:strike w:val="0"/>
          <w:noProof w:val="0"/>
          <w:color w:val="000000"/>
          <w:position w:val="0"/>
          <w:sz w:val="18"/>
          <w:u w:val="none"/>
          <w:vertAlign w:val="baseline"/>
        </w:rPr>
        <w:t xml:space="preserve">, </w:t>
      </w:r>
      <w:hyperlink r:id="rId283" w:history="1">
        <w:r>
          <w:rPr>
            <w:rFonts w:ascii="arial" w:eastAsia="arial" w:hAnsi="arial" w:cs="arial"/>
            <w:b w:val="0"/>
            <w:i/>
            <w:strike w:val="0"/>
            <w:noProof w:val="0"/>
            <w:color w:val="0077CC"/>
            <w:position w:val="0"/>
            <w:sz w:val="18"/>
            <w:u w:val="single"/>
            <w:shd w:val="clear" w:color="auto" w:fill="FFFFFF"/>
            <w:vertAlign w:val="baseline"/>
          </w:rPr>
          <w:t>27 N.Y.U. Rev. L. &amp; Soc. Change 543 (2002)</w:t>
        </w:r>
      </w:hyperlink>
      <w:r>
        <w:rPr>
          <w:rFonts w:ascii="arial" w:eastAsia="arial" w:hAnsi="arial" w:cs="arial"/>
          <w:b w:val="0"/>
          <w:i w:val="0"/>
          <w:strike w:val="0"/>
          <w:noProof w:val="0"/>
          <w:color w:val="000000"/>
          <w:position w:val="0"/>
          <w:sz w:val="18"/>
          <w:u w:val="none"/>
          <w:vertAlign w:val="baseline"/>
        </w:rPr>
        <w:t>.</w:t>
      </w:r>
    </w:p>
  </w:footnote>
  <w:footnote w:id="18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184 </w:t>
      </w:r>
      <w:hyperlink r:id="rId229" w:history="1">
        <w:r>
          <w:rPr>
            <w:rFonts w:ascii="arial" w:eastAsia="arial" w:hAnsi="arial" w:cs="arial"/>
            <w:b w:val="0"/>
            <w:i/>
            <w:strike w:val="0"/>
            <w:noProof w:val="0"/>
            <w:color w:val="0077CC"/>
            <w:position w:val="0"/>
            <w:sz w:val="18"/>
            <w:u w:val="single"/>
            <w:shd w:val="clear" w:color="auto" w:fill="FFFFFF"/>
            <w:vertAlign w:val="baseline"/>
          </w:rPr>
          <w:t>Rumsfeld v. Padilla, 542 U.S. 426, 436 n.8 (2004)</w:t>
        </w:r>
      </w:hyperlink>
      <w:r>
        <w:rPr>
          <w:rFonts w:ascii="arial" w:eastAsia="arial" w:hAnsi="arial" w:cs="arial"/>
          <w:b w:val="0"/>
          <w:i w:val="0"/>
          <w:strike w:val="0"/>
          <w:noProof w:val="0"/>
          <w:color w:val="000000"/>
          <w:position w:val="0"/>
          <w:sz w:val="18"/>
          <w:u w:val="none"/>
          <w:vertAlign w:val="baseline"/>
        </w:rPr>
        <w:t xml:space="preserve"> (in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challenges to present physical confinement, the default rule is that the proper respondent is the warden of the facility where the prisoner is being held, not the Attorney General or some other remote supervisory official, but expressly declining to decide this issue for immigration detention cases).</w:t>
      </w:r>
    </w:p>
  </w:footnote>
  <w:footnote w:id="1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185 </w:t>
      </w:r>
      <w:hyperlink r:id="rId284" w:history="1">
        <w:r>
          <w:rPr>
            <w:rFonts w:ascii="arial" w:eastAsia="arial" w:hAnsi="arial" w:cs="arial"/>
            <w:b w:val="0"/>
            <w:i/>
            <w:strike w:val="0"/>
            <w:noProof w:val="0"/>
            <w:color w:val="0077CC"/>
            <w:position w:val="0"/>
            <w:sz w:val="18"/>
            <w:u w:val="single"/>
            <w:shd w:val="clear" w:color="auto" w:fill="FFFFFF"/>
            <w:vertAlign w:val="baseline"/>
          </w:rPr>
          <w:t>Kholyavskiy v. Achim, 443 F.3d 946 (7th Cir. 2006)</w:t>
        </w:r>
      </w:hyperlink>
      <w:r>
        <w:rPr>
          <w:rFonts w:ascii="arial" w:eastAsia="arial" w:hAnsi="arial" w:cs="arial"/>
          <w:b w:val="0"/>
          <w:i w:val="0"/>
          <w:strike w:val="0"/>
          <w:noProof w:val="0"/>
          <w:color w:val="000000"/>
          <w:position w:val="0"/>
          <w:sz w:val="18"/>
          <w:u w:val="none"/>
          <w:vertAlign w:val="baseline"/>
        </w:rPr>
        <w:t xml:space="preserve"> (ruling that post-</w:t>
      </w:r>
      <w:r>
        <w:rPr>
          <w:rFonts w:ascii="arial" w:eastAsia="arial" w:hAnsi="arial" w:cs="arial"/>
          <w:b w:val="0"/>
          <w:i/>
          <w:strike w:val="0"/>
          <w:noProof w:val="0"/>
          <w:color w:val="000000"/>
          <w:position w:val="0"/>
          <w:sz w:val="18"/>
          <w:u w:val="none"/>
          <w:vertAlign w:val="baseline"/>
        </w:rPr>
        <w:t>Padilla</w:t>
      </w:r>
      <w:r>
        <w:rPr>
          <w:rFonts w:ascii="arial" w:eastAsia="arial" w:hAnsi="arial" w:cs="arial"/>
          <w:b w:val="0"/>
          <w:i w:val="0"/>
          <w:strike w:val="0"/>
          <w:noProof w:val="0"/>
          <w:color w:val="000000"/>
          <w:position w:val="0"/>
          <w:sz w:val="18"/>
          <w:u w:val="none"/>
          <w:vertAlign w:val="baseline"/>
        </w:rPr>
        <w:t xml:space="preserve">, proper custodian is warden of state jail where person is detained); </w:t>
      </w:r>
      <w:hyperlink r:id="rId285" w:history="1">
        <w:r>
          <w:rPr>
            <w:rFonts w:ascii="arial" w:eastAsia="arial" w:hAnsi="arial" w:cs="arial"/>
            <w:b w:val="0"/>
            <w:i/>
            <w:strike w:val="0"/>
            <w:noProof w:val="0"/>
            <w:color w:val="0077CC"/>
            <w:position w:val="0"/>
            <w:sz w:val="18"/>
            <w:u w:val="single"/>
            <w:shd w:val="clear" w:color="auto" w:fill="FFFFFF"/>
            <w:vertAlign w:val="baseline"/>
          </w:rPr>
          <w:t>Robledo-Gonzales v. Ashcroft, 342 F.3d 667 (7th Cir. 2003)</w:t>
        </w:r>
      </w:hyperlink>
      <w:r>
        <w:rPr>
          <w:rFonts w:ascii="arial" w:eastAsia="arial" w:hAnsi="arial" w:cs="arial"/>
          <w:b w:val="0"/>
          <w:i w:val="0"/>
          <w:strike w:val="0"/>
          <w:noProof w:val="0"/>
          <w:color w:val="000000"/>
          <w:position w:val="0"/>
          <w:sz w:val="18"/>
          <w:u w:val="none"/>
          <w:vertAlign w:val="baseline"/>
        </w:rPr>
        <w:t xml:space="preserve"> (Attorney General is not a proper respondent); </w:t>
      </w:r>
      <w:hyperlink r:id="rId286" w:history="1">
        <w:r>
          <w:rPr>
            <w:rFonts w:ascii="arial" w:eastAsia="arial" w:hAnsi="arial" w:cs="arial"/>
            <w:b w:val="0"/>
            <w:i/>
            <w:strike w:val="0"/>
            <w:noProof w:val="0"/>
            <w:color w:val="0077CC"/>
            <w:position w:val="0"/>
            <w:sz w:val="18"/>
            <w:u w:val="single"/>
            <w:shd w:val="clear" w:color="auto" w:fill="FFFFFF"/>
            <w:vertAlign w:val="baseline"/>
          </w:rPr>
          <w:t>Roman v. Ashcroft, 340 F.3d 314 (6th Cir. 2003)</w:t>
        </w:r>
      </w:hyperlink>
      <w:r>
        <w:rPr>
          <w:rFonts w:ascii="arial" w:eastAsia="arial" w:hAnsi="arial" w:cs="arial"/>
          <w:b w:val="0"/>
          <w:i w:val="0"/>
          <w:strike w:val="0"/>
          <w:noProof w:val="0"/>
          <w:color w:val="000000"/>
          <w:position w:val="0"/>
          <w:sz w:val="18"/>
          <w:u w:val="none"/>
          <w:vertAlign w:val="baseline"/>
        </w:rPr>
        <w:t xml:space="preserve"> (citing this treatise) (Attorney General is not normally the proper custodian, because he does not have day-to-day control over the detainee; court recognized certain exceptions to that rule, but held they did not apply here); </w:t>
      </w:r>
      <w:hyperlink r:id="rId287" w:history="1">
        <w:r>
          <w:rPr>
            <w:rFonts w:ascii="arial" w:eastAsia="arial" w:hAnsi="arial" w:cs="arial"/>
            <w:b w:val="0"/>
            <w:i/>
            <w:strike w:val="0"/>
            <w:noProof w:val="0"/>
            <w:color w:val="0077CC"/>
            <w:position w:val="0"/>
            <w:sz w:val="18"/>
            <w:u w:val="single"/>
            <w:shd w:val="clear" w:color="auto" w:fill="FFFFFF"/>
            <w:vertAlign w:val="baseline"/>
          </w:rPr>
          <w:t>Vasquez v. Reno, 233 F.3d 688, 689, 693 (1st Cir. 2000)</w:t>
        </w:r>
      </w:hyperlink>
      <w:r>
        <w:rPr>
          <w:rFonts w:ascii="arial" w:eastAsia="arial" w:hAnsi="arial" w:cs="arial"/>
          <w:b w:val="0"/>
          <w:i w:val="0"/>
          <w:strike w:val="0"/>
          <w:noProof w:val="0"/>
          <w:color w:val="000000"/>
          <w:position w:val="0"/>
          <w:sz w:val="18"/>
          <w:u w:val="none"/>
          <w:vertAlign w:val="baseline"/>
        </w:rPr>
        <w:t xml:space="preserve"> (“as a general rule, the Attorney General is neither the custodian of [an INS detainee] in the requisite sense nor the proper respondent to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 [The respondent should be the] official having day-to-day control over the facility where the alien is being detained.”); </w:t>
      </w:r>
      <w:hyperlink r:id="rId288" w:history="1">
        <w:r>
          <w:rPr>
            <w:rFonts w:ascii="arial" w:eastAsia="arial" w:hAnsi="arial" w:cs="arial"/>
            <w:b w:val="0"/>
            <w:i/>
            <w:strike w:val="0"/>
            <w:noProof w:val="0"/>
            <w:color w:val="0077CC"/>
            <w:position w:val="0"/>
            <w:sz w:val="18"/>
            <w:u w:val="single"/>
            <w:shd w:val="clear" w:color="auto" w:fill="FFFFFF"/>
            <w:vertAlign w:val="baseline"/>
          </w:rPr>
          <w:t>Yi v. Maugans, 24 F.3d 500 (3d Cir. 1994)</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89" w:history="1">
        <w:r>
          <w:rPr>
            <w:rFonts w:ascii="arial" w:eastAsia="arial" w:hAnsi="arial" w:cs="arial"/>
            <w:b w:val="0"/>
            <w:i/>
            <w:strike w:val="0"/>
            <w:noProof w:val="0"/>
            <w:color w:val="0077CC"/>
            <w:position w:val="0"/>
            <w:sz w:val="18"/>
            <w:u w:val="single"/>
            <w:shd w:val="clear" w:color="auto" w:fill="FFFFFF"/>
            <w:vertAlign w:val="baseline"/>
          </w:rPr>
          <w:t>Bermudez-Cardiel v. Sonchik, 2002 U.S. App. LEXIS 18460, at **3–4 (9th Cir. Sept. 5, 2002)</w:t>
        </w:r>
      </w:hyperlink>
      <w:r>
        <w:rPr>
          <w:rFonts w:ascii="arial" w:eastAsia="arial" w:hAnsi="arial" w:cs="arial"/>
          <w:b w:val="0"/>
          <w:i w:val="0"/>
          <w:strike w:val="0"/>
          <w:noProof w:val="0"/>
          <w:color w:val="000000"/>
          <w:position w:val="0"/>
          <w:sz w:val="18"/>
          <w:u w:val="none"/>
          <w:vertAlign w:val="baseline"/>
        </w:rPr>
        <w:t xml:space="preserve"> (The warden of the detention facility at which the noncitizen is being held, not the INS District Director, is the “immediate custodian” because he is the “person having day-to-day control over the prisoner.”); </w:t>
      </w:r>
      <w:hyperlink r:id="rId290" w:history="1">
        <w:r>
          <w:rPr>
            <w:rFonts w:ascii="arial" w:eastAsia="arial" w:hAnsi="arial" w:cs="arial"/>
            <w:b w:val="0"/>
            <w:i/>
            <w:strike w:val="0"/>
            <w:noProof w:val="0"/>
            <w:color w:val="0077CC"/>
            <w:position w:val="0"/>
            <w:sz w:val="18"/>
            <w:u w:val="single"/>
            <w:shd w:val="clear" w:color="auto" w:fill="FFFFFF"/>
            <w:vertAlign w:val="baseline"/>
          </w:rPr>
          <w:t>Ali v. Ridge, 2003 U.S. Dist. LEXIS 20582 (N.D. Ill. Nov. 14, 2003)</w:t>
        </w:r>
      </w:hyperlink>
      <w:r>
        <w:rPr>
          <w:rFonts w:ascii="arial" w:eastAsia="arial" w:hAnsi="arial" w:cs="arial"/>
          <w:b w:val="0"/>
          <w:i w:val="0"/>
          <w:strike w:val="0"/>
          <w:noProof w:val="0"/>
          <w:color w:val="000000"/>
          <w:position w:val="0"/>
          <w:sz w:val="18"/>
          <w:u w:val="none"/>
          <w:vertAlign w:val="baseline"/>
        </w:rPr>
        <w:t xml:space="preserve">; </w:t>
      </w:r>
      <w:hyperlink r:id="rId282" w:history="1">
        <w:r>
          <w:rPr>
            <w:rFonts w:ascii="arial" w:eastAsia="arial" w:hAnsi="arial" w:cs="arial"/>
            <w:b w:val="0"/>
            <w:i/>
            <w:strike w:val="0"/>
            <w:noProof w:val="0"/>
            <w:color w:val="0077CC"/>
            <w:position w:val="0"/>
            <w:sz w:val="18"/>
            <w:u w:val="single"/>
            <w:shd w:val="clear" w:color="auto" w:fill="FFFFFF"/>
            <w:vertAlign w:val="baseline"/>
          </w:rPr>
          <w:t>Pearce v. Ashcroft, 2003 U.S. Dist. LEXIS 3735 (D. Conn. Mar. 12, 2003)</w:t>
        </w:r>
      </w:hyperlink>
      <w:r>
        <w:rPr>
          <w:rFonts w:ascii="arial" w:eastAsia="arial" w:hAnsi="arial" w:cs="arial"/>
          <w:b w:val="0"/>
          <w:i w:val="0"/>
          <w:strike w:val="0"/>
          <w:noProof w:val="0"/>
          <w:color w:val="000000"/>
          <w:position w:val="0"/>
          <w:sz w:val="18"/>
          <w:u w:val="none"/>
          <w:vertAlign w:val="baseline"/>
        </w:rPr>
        <w:t xml:space="preserve">; </w:t>
      </w:r>
      <w:hyperlink r:id="rId291" w:history="1">
        <w:r>
          <w:rPr>
            <w:rFonts w:ascii="arial" w:eastAsia="arial" w:hAnsi="arial" w:cs="arial"/>
            <w:b w:val="0"/>
            <w:i/>
            <w:strike w:val="0"/>
            <w:noProof w:val="0"/>
            <w:color w:val="0077CC"/>
            <w:position w:val="0"/>
            <w:sz w:val="18"/>
            <w:u w:val="single"/>
            <w:shd w:val="clear" w:color="auto" w:fill="FFFFFF"/>
            <w:vertAlign w:val="baseline"/>
          </w:rPr>
          <w:t>Barton v. Ashcroft, 152 F. Supp. 2d 235 (D. Conn. 2001)</w:t>
        </w:r>
      </w:hyperlink>
      <w:r>
        <w:rPr>
          <w:rFonts w:ascii="arial" w:eastAsia="arial" w:hAnsi="arial" w:cs="arial"/>
          <w:b w:val="0"/>
          <w:i w:val="0"/>
          <w:strike w:val="0"/>
          <w:noProof w:val="0"/>
          <w:color w:val="000000"/>
          <w:position w:val="0"/>
          <w:sz w:val="18"/>
          <w:u w:val="none"/>
          <w:vertAlign w:val="baseline"/>
        </w:rPr>
        <w:t>.</w:t>
      </w:r>
    </w:p>
  </w:footnote>
  <w:footnote w:id="1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186 </w:t>
      </w:r>
      <w:hyperlink r:id="rId285" w:history="1">
        <w:r>
          <w:rPr>
            <w:rFonts w:ascii="arial" w:eastAsia="arial" w:hAnsi="arial" w:cs="arial"/>
            <w:b w:val="0"/>
            <w:i/>
            <w:strike w:val="0"/>
            <w:noProof w:val="0"/>
            <w:color w:val="0077CC"/>
            <w:position w:val="0"/>
            <w:sz w:val="18"/>
            <w:u w:val="single"/>
            <w:shd w:val="clear" w:color="auto" w:fill="FFFFFF"/>
            <w:vertAlign w:val="baseline"/>
          </w:rPr>
          <w:t>Robledo-Gonzales v. Ashcroft, 342 F.3d 667, 674 (7th Cir. 2003)</w:t>
        </w:r>
      </w:hyperlink>
      <w:r>
        <w:rPr>
          <w:rFonts w:ascii="arial" w:eastAsia="arial" w:hAnsi="arial" w:cs="arial"/>
          <w:b w:val="0"/>
          <w:i w:val="0"/>
          <w:strike w:val="0"/>
          <w:noProof w:val="0"/>
          <w:color w:val="000000"/>
          <w:position w:val="0"/>
          <w:sz w:val="18"/>
          <w:u w:val="none"/>
          <w:vertAlign w:val="baseline"/>
        </w:rPr>
        <w:t xml:space="preserve">; </w:t>
      </w:r>
      <w:hyperlink r:id="rId288" w:history="1">
        <w:r>
          <w:rPr>
            <w:rFonts w:ascii="arial" w:eastAsia="arial" w:hAnsi="arial" w:cs="arial"/>
            <w:b w:val="0"/>
            <w:i/>
            <w:strike w:val="0"/>
            <w:noProof w:val="0"/>
            <w:color w:val="0077CC"/>
            <w:position w:val="0"/>
            <w:sz w:val="18"/>
            <w:u w:val="single"/>
            <w:shd w:val="clear" w:color="auto" w:fill="FFFFFF"/>
            <w:vertAlign w:val="baseline"/>
          </w:rPr>
          <w:t>Yi v. Maugans, 24 F.3d 500, 507 (3d Cir. 1994)</w:t>
        </w:r>
      </w:hyperlink>
      <w:r>
        <w:rPr>
          <w:rFonts w:ascii="arial" w:eastAsia="arial" w:hAnsi="arial" w:cs="arial"/>
          <w:b w:val="0"/>
          <w:i w:val="0"/>
          <w:strike w:val="0"/>
          <w:noProof w:val="0"/>
          <w:color w:val="000000"/>
          <w:position w:val="0"/>
          <w:sz w:val="18"/>
          <w:u w:val="none"/>
          <w:vertAlign w:val="baseline"/>
        </w:rPr>
        <w:t xml:space="preserve">; </w:t>
      </w:r>
      <w:hyperlink r:id="rId292" w:history="1">
        <w:r>
          <w:rPr>
            <w:rFonts w:ascii="arial" w:eastAsia="arial" w:hAnsi="arial" w:cs="arial"/>
            <w:b w:val="0"/>
            <w:i/>
            <w:strike w:val="0"/>
            <w:noProof w:val="0"/>
            <w:color w:val="0077CC"/>
            <w:position w:val="0"/>
            <w:sz w:val="18"/>
            <w:u w:val="single"/>
            <w:shd w:val="clear" w:color="auto" w:fill="FFFFFF"/>
            <w:vertAlign w:val="baseline"/>
          </w:rPr>
          <w:t>Brittingham v. United States, 982 F.2d 378, 379–80 (9th Cir. 1992)</w:t>
        </w:r>
      </w:hyperlink>
      <w:r>
        <w:rPr>
          <w:rFonts w:ascii="arial" w:eastAsia="arial" w:hAnsi="arial" w:cs="arial"/>
          <w:b w:val="0"/>
          <w:i w:val="0"/>
          <w:strike w:val="0"/>
          <w:noProof w:val="0"/>
          <w:color w:val="000000"/>
          <w:position w:val="0"/>
          <w:sz w:val="18"/>
          <w:u w:val="none"/>
          <w:vertAlign w:val="baseline"/>
        </w:rPr>
        <w:t xml:space="preserve">; </w:t>
      </w:r>
      <w:hyperlink r:id="rId272" w:history="1">
        <w:r>
          <w:rPr>
            <w:rFonts w:ascii="arial" w:eastAsia="arial" w:hAnsi="arial" w:cs="arial"/>
            <w:b w:val="0"/>
            <w:i/>
            <w:strike w:val="0"/>
            <w:noProof w:val="0"/>
            <w:color w:val="0077CC"/>
            <w:position w:val="0"/>
            <w:sz w:val="18"/>
            <w:u w:val="single"/>
            <w:shd w:val="clear" w:color="auto" w:fill="FFFFFF"/>
            <w:vertAlign w:val="baseline"/>
          </w:rPr>
          <w:t>Wang v. Reno, 862 F. Supp. 801, 812–13 (E.D.N.Y. 1997)</w:t>
        </w:r>
      </w:hyperlink>
      <w:r>
        <w:rPr>
          <w:rFonts w:ascii="arial" w:eastAsia="arial" w:hAnsi="arial" w:cs="arial"/>
          <w:b w:val="0"/>
          <w:i w:val="0"/>
          <w:strike w:val="0"/>
          <w:noProof w:val="0"/>
          <w:color w:val="000000"/>
          <w:position w:val="0"/>
          <w:sz w:val="18"/>
          <w:u w:val="none"/>
          <w:vertAlign w:val="baseline"/>
        </w:rPr>
        <w:t>.</w:t>
      </w:r>
    </w:p>
  </w:footnote>
  <w:footnote w:id="1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187 </w:t>
      </w:r>
      <w:hyperlink r:id="rId279" w:history="1">
        <w:r>
          <w:rPr>
            <w:rFonts w:ascii="arial" w:eastAsia="arial" w:hAnsi="arial" w:cs="arial"/>
            <w:b w:val="0"/>
            <w:i/>
            <w:strike w:val="0"/>
            <w:noProof w:val="0"/>
            <w:color w:val="0077CC"/>
            <w:position w:val="0"/>
            <w:sz w:val="18"/>
            <w:u w:val="single"/>
            <w:shd w:val="clear" w:color="auto" w:fill="FFFFFF"/>
            <w:vertAlign w:val="baseline"/>
          </w:rPr>
          <w:t>Chavez-Rivas v. Olsen, 194 F. Supp. 2d 368, 376 (D.N.J. 2002)</w:t>
        </w:r>
      </w:hyperlink>
      <w:r>
        <w:rPr>
          <w:rFonts w:ascii="arial" w:eastAsia="arial" w:hAnsi="arial" w:cs="arial"/>
          <w:b w:val="0"/>
          <w:i w:val="0"/>
          <w:strike w:val="0"/>
          <w:noProof w:val="0"/>
          <w:color w:val="000000"/>
          <w:position w:val="0"/>
          <w:sz w:val="18"/>
          <w:u w:val="none"/>
          <w:vertAlign w:val="baseline"/>
        </w:rPr>
        <w:t xml:space="preserve"> (“where an INS-detained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petitioner properly files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in the district where he is incarcerated, and the petitioner is subsequently transferred to a facility outside of that district, the Attorney General of the United States may be deemed ‘custodian’ to allow the original District Court to retain jurisdiction over 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w:t>
      </w:r>
      <w:hyperlink r:id="rId272" w:history="1">
        <w:r>
          <w:rPr>
            <w:rFonts w:ascii="arial" w:eastAsia="arial" w:hAnsi="arial" w:cs="arial"/>
            <w:b w:val="0"/>
            <w:i/>
            <w:strike w:val="0"/>
            <w:noProof w:val="0"/>
            <w:color w:val="0077CC"/>
            <w:position w:val="0"/>
            <w:sz w:val="18"/>
            <w:u w:val="single"/>
            <w:shd w:val="clear" w:color="auto" w:fill="FFFFFF"/>
            <w:vertAlign w:val="baseline"/>
          </w:rPr>
          <w:t>Wang v. Reno, 862 F. Supp. 801, 812–13 (E.D.N.Y. 1994)</w:t>
        </w:r>
      </w:hyperlink>
      <w:r>
        <w:rPr>
          <w:rFonts w:ascii="arial" w:eastAsia="arial" w:hAnsi="arial" w:cs="arial"/>
          <w:b w:val="0"/>
          <w:i w:val="0"/>
          <w:strike w:val="0"/>
          <w:noProof w:val="0"/>
          <w:color w:val="000000"/>
          <w:position w:val="0"/>
          <w:sz w:val="18"/>
          <w:u w:val="none"/>
          <w:vertAlign w:val="baseline"/>
        </w:rPr>
        <w:t xml:space="preserve"> (limiting </w:t>
      </w:r>
      <w:hyperlink r:id="rId276" w:history="1">
        <w:r>
          <w:rPr>
            <w:rFonts w:ascii="arial" w:eastAsia="arial" w:hAnsi="arial" w:cs="arial"/>
            <w:b w:val="0"/>
            <w:i/>
            <w:strike w:val="0"/>
            <w:noProof w:val="0"/>
            <w:color w:val="0077CC"/>
            <w:position w:val="0"/>
            <w:sz w:val="18"/>
            <w:u w:val="single"/>
            <w:shd w:val="clear" w:color="auto" w:fill="FFFFFF"/>
            <w:vertAlign w:val="baseline"/>
          </w:rPr>
          <w:t>Nwankwo v. Reno, 828 F. Supp. 171, 174 (E.D.N.Y. 1993)</w:t>
        </w:r>
      </w:hyperlink>
      <w:r>
        <w:rPr>
          <w:rFonts w:ascii="arial" w:eastAsia="arial" w:hAnsi="arial" w:cs="arial"/>
          <w:b w:val="0"/>
          <w:i w:val="0"/>
          <w:strike w:val="0"/>
          <w:noProof w:val="0"/>
          <w:color w:val="000000"/>
          <w:position w:val="0"/>
          <w:sz w:val="18"/>
          <w:u w:val="none"/>
          <w:vertAlign w:val="baseline"/>
        </w:rPr>
        <w:t>, to its “extraordinary” facts).</w:t>
      </w:r>
    </w:p>
  </w:footnote>
  <w:footnote w:id="1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188 </w:t>
      </w:r>
      <w:hyperlink r:id="rId293" w:history="1">
        <w:r>
          <w:rPr>
            <w:rFonts w:ascii="arial" w:eastAsia="arial" w:hAnsi="arial" w:cs="arial"/>
            <w:b w:val="0"/>
            <w:i/>
            <w:strike w:val="0"/>
            <w:noProof w:val="0"/>
            <w:color w:val="0077CC"/>
            <w:position w:val="0"/>
            <w:sz w:val="18"/>
            <w:u w:val="single"/>
            <w:shd w:val="clear" w:color="auto" w:fill="FFFFFF"/>
            <w:vertAlign w:val="baseline"/>
          </w:rPr>
          <w:t>Bourguignon v. MacDonald, 667 F. Supp. 2d 175, 178 (D. Mass. 2009)</w:t>
        </w:r>
      </w:hyperlink>
      <w:r>
        <w:rPr>
          <w:rFonts w:ascii="arial" w:eastAsia="arial" w:hAnsi="arial" w:cs="arial"/>
          <w:b w:val="0"/>
          <w:i w:val="0"/>
          <w:strike w:val="0"/>
          <w:noProof w:val="0"/>
          <w:color w:val="000000"/>
          <w:position w:val="0"/>
          <w:sz w:val="18"/>
          <w:u w:val="none"/>
          <w:vertAlign w:val="baseline"/>
        </w:rPr>
        <w:t xml:space="preserve">; </w:t>
      </w:r>
      <w:hyperlink r:id="rId294" w:history="1">
        <w:r>
          <w:rPr>
            <w:rFonts w:ascii="arial" w:eastAsia="arial" w:hAnsi="arial" w:cs="arial"/>
            <w:b w:val="0"/>
            <w:i/>
            <w:strike w:val="0"/>
            <w:noProof w:val="0"/>
            <w:color w:val="0077CC"/>
            <w:position w:val="0"/>
            <w:sz w:val="18"/>
            <w:u w:val="single"/>
            <w:shd w:val="clear" w:color="auto" w:fill="FFFFFF"/>
            <w:vertAlign w:val="baseline"/>
          </w:rPr>
          <w:t>Cambell v. Ganter, 353 F. Supp. 2d 332 (E.D.N.Y. 2004)</w:t>
        </w:r>
      </w:hyperlink>
      <w:r>
        <w:rPr>
          <w:rFonts w:ascii="arial" w:eastAsia="arial" w:hAnsi="arial" w:cs="arial"/>
          <w:b w:val="0"/>
          <w:i w:val="0"/>
          <w:strike w:val="0"/>
          <w:noProof w:val="0"/>
          <w:color w:val="000000"/>
          <w:position w:val="0"/>
          <w:sz w:val="18"/>
          <w:u w:val="none"/>
          <w:vertAlign w:val="baseline"/>
        </w:rPr>
        <w:t>.</w:t>
      </w:r>
    </w:p>
  </w:footnote>
  <w:footnote w:id="1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189 </w:t>
      </w:r>
      <w:hyperlink r:id="rId47" w:history="1">
        <w:r>
          <w:rPr>
            <w:rFonts w:ascii="arial" w:eastAsia="arial" w:hAnsi="arial" w:cs="arial"/>
            <w:b w:val="0"/>
            <w:i/>
            <w:strike w:val="0"/>
            <w:noProof w:val="0"/>
            <w:color w:val="0077CC"/>
            <w:position w:val="0"/>
            <w:sz w:val="18"/>
            <w:u w:val="single"/>
            <w:shd w:val="clear" w:color="auto" w:fill="FFFFFF"/>
            <w:vertAlign w:val="baseline"/>
          </w:rPr>
          <w:t>Galaviz-Medina v. Wooten, 27 F.3d 487 (10th Cir. 1994)</w:t>
        </w:r>
      </w:hyperlink>
      <w:r>
        <w:rPr>
          <w:rFonts w:ascii="arial" w:eastAsia="arial" w:hAnsi="arial" w:cs="arial"/>
          <w:b w:val="0"/>
          <w:i w:val="0"/>
          <w:strike w:val="0"/>
          <w:noProof w:val="0"/>
          <w:color w:val="000000"/>
          <w:position w:val="0"/>
          <w:sz w:val="18"/>
          <w:u w:val="none"/>
          <w:vertAlign w:val="baseline"/>
        </w:rPr>
        <w:t xml:space="preserve">; </w:t>
      </w:r>
      <w:hyperlink r:id="rId295" w:history="1">
        <w:r>
          <w:rPr>
            <w:rFonts w:ascii="arial" w:eastAsia="arial" w:hAnsi="arial" w:cs="arial"/>
            <w:b w:val="0"/>
            <w:i/>
            <w:strike w:val="0"/>
            <w:noProof w:val="0"/>
            <w:color w:val="0077CC"/>
            <w:position w:val="0"/>
            <w:sz w:val="18"/>
            <w:u w:val="single"/>
            <w:shd w:val="clear" w:color="auto" w:fill="FFFFFF"/>
            <w:vertAlign w:val="baseline"/>
          </w:rPr>
          <w:t>Duy Tho Hy v. Gillen, 588 F. Supp. 2d 122 (D. Mass. 2008)</w:t>
        </w:r>
      </w:hyperlink>
      <w:r>
        <w:rPr>
          <w:rFonts w:ascii="arial" w:eastAsia="arial" w:hAnsi="arial" w:cs="arial"/>
          <w:b w:val="0"/>
          <w:i w:val="0"/>
          <w:strike w:val="0"/>
          <w:noProof w:val="0"/>
          <w:color w:val="000000"/>
          <w:position w:val="0"/>
          <w:sz w:val="18"/>
          <w:u w:val="none"/>
          <w:vertAlign w:val="baseline"/>
        </w:rPr>
        <w:t>.</w:t>
      </w:r>
    </w:p>
  </w:footnote>
  <w:footnote w:id="19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190 </w:t>
      </w:r>
      <w:hyperlink r:id="rId296" w:history="1">
        <w:r>
          <w:rPr>
            <w:rFonts w:ascii="arial" w:eastAsia="arial" w:hAnsi="arial" w:cs="arial"/>
            <w:b w:val="0"/>
            <w:i/>
            <w:strike w:val="0"/>
            <w:noProof w:val="0"/>
            <w:color w:val="0077CC"/>
            <w:position w:val="0"/>
            <w:sz w:val="18"/>
            <w:u w:val="single"/>
            <w:shd w:val="clear" w:color="auto" w:fill="FFFFFF"/>
            <w:vertAlign w:val="baseline"/>
          </w:rPr>
          <w:t>Farez-Espinoza v. Chertoff, 600 F. Supp. 2d 488 (S.D.N.Y. 2009)</w:t>
        </w:r>
      </w:hyperlink>
      <w:r>
        <w:rPr>
          <w:rFonts w:ascii="arial" w:eastAsia="arial" w:hAnsi="arial" w:cs="arial"/>
          <w:b w:val="0"/>
          <w:i w:val="0"/>
          <w:strike w:val="0"/>
          <w:noProof w:val="0"/>
          <w:color w:val="000000"/>
          <w:position w:val="0"/>
          <w:sz w:val="18"/>
          <w:u w:val="none"/>
          <w:vertAlign w:val="baseline"/>
        </w:rPr>
        <w:t xml:space="preserve"> (Attorney General and DHS Secretary are proper respondents (citing </w:t>
      </w:r>
      <w:hyperlink r:id="rId229" w:history="1">
        <w:r>
          <w:rPr>
            <w:rFonts w:ascii="arial" w:eastAsia="arial" w:hAnsi="arial" w:cs="arial"/>
            <w:b w:val="0"/>
            <w:i/>
            <w:strike w:val="0"/>
            <w:noProof w:val="0"/>
            <w:color w:val="0077CC"/>
            <w:position w:val="0"/>
            <w:sz w:val="18"/>
            <w:u w:val="single"/>
            <w:shd w:val="clear" w:color="auto" w:fill="FFFFFF"/>
            <w:vertAlign w:val="baseline"/>
          </w:rPr>
          <w:t>Rumsfeld v. Padilla, 542 U.S. 426, 436 n.8 (2004))</w:t>
        </w:r>
      </w:hyperlink>
      <w:r>
        <w:rPr>
          <w:rFonts w:ascii="arial" w:eastAsia="arial" w:hAnsi="arial" w:cs="arial"/>
          <w:b w:val="0"/>
          <w:i w:val="0"/>
          <w:strike w:val="0"/>
          <w:noProof w:val="0"/>
          <w:color w:val="000000"/>
          <w:position w:val="0"/>
          <w:sz w:val="18"/>
          <w:u w:val="none"/>
          <w:vertAlign w:val="baseline"/>
        </w:rPr>
        <w:t xml:space="preserve">; </w:t>
      </w:r>
      <w:hyperlink r:id="rId297" w:history="1">
        <w:r>
          <w:rPr>
            <w:rFonts w:ascii="arial" w:eastAsia="arial" w:hAnsi="arial" w:cs="arial"/>
            <w:b w:val="0"/>
            <w:i/>
            <w:strike w:val="0"/>
            <w:noProof w:val="0"/>
            <w:color w:val="0077CC"/>
            <w:position w:val="0"/>
            <w:sz w:val="18"/>
            <w:u w:val="single"/>
            <w:shd w:val="clear" w:color="auto" w:fill="FFFFFF"/>
            <w:vertAlign w:val="baseline"/>
          </w:rPr>
          <w:t>Somir v. United States, 354 F. Supp. 2d 215 (E.D.N.Y. 2005)</w:t>
        </w:r>
      </w:hyperlink>
      <w:r>
        <w:rPr>
          <w:rFonts w:ascii="arial" w:eastAsia="arial" w:hAnsi="arial" w:cs="arial"/>
          <w:b w:val="0"/>
          <w:i w:val="0"/>
          <w:strike w:val="0"/>
          <w:noProof w:val="0"/>
          <w:color w:val="000000"/>
          <w:position w:val="0"/>
          <w:sz w:val="18"/>
          <w:u w:val="none"/>
          <w:vertAlign w:val="baseline"/>
        </w:rPr>
        <w:t xml:space="preserve"> (Attorney General remains proper custodian post-</w:t>
      </w:r>
      <w:r>
        <w:rPr>
          <w:rFonts w:ascii="arial" w:eastAsia="arial" w:hAnsi="arial" w:cs="arial"/>
          <w:b w:val="0"/>
          <w:i/>
          <w:strike w:val="0"/>
          <w:noProof w:val="0"/>
          <w:color w:val="000000"/>
          <w:position w:val="0"/>
          <w:sz w:val="18"/>
          <w:u w:val="none"/>
          <w:vertAlign w:val="baseline"/>
        </w:rPr>
        <w:t>Padilla</w:t>
      </w:r>
      <w:r>
        <w:rPr>
          <w:rFonts w:ascii="arial" w:eastAsia="arial" w:hAnsi="arial" w:cs="arial"/>
          <w:b w:val="0"/>
          <w:i w:val="0"/>
          <w:strike w:val="0"/>
          <w:noProof w:val="0"/>
          <w:color w:val="000000"/>
          <w:position w:val="0"/>
          <w:sz w:val="18"/>
          <w:u w:val="none"/>
          <w:vertAlign w:val="baseline"/>
        </w:rPr>
        <w:t xml:space="preserve">); </w:t>
      </w:r>
      <w:hyperlink r:id="rId298" w:history="1">
        <w:r>
          <w:rPr>
            <w:rFonts w:ascii="arial" w:eastAsia="arial" w:hAnsi="arial" w:cs="arial"/>
            <w:b w:val="0"/>
            <w:i/>
            <w:strike w:val="0"/>
            <w:noProof w:val="0"/>
            <w:color w:val="0077CC"/>
            <w:position w:val="0"/>
            <w:sz w:val="18"/>
            <w:u w:val="single"/>
            <w:shd w:val="clear" w:color="auto" w:fill="FFFFFF"/>
            <w:vertAlign w:val="baseline"/>
          </w:rPr>
          <w:t>Mandarino v. Ashcroft, 318 F. Supp. 2d 13 (D. Conn. 2003)</w:t>
        </w:r>
      </w:hyperlink>
      <w:r>
        <w:rPr>
          <w:rFonts w:ascii="arial" w:eastAsia="arial" w:hAnsi="arial" w:cs="arial"/>
          <w:b w:val="0"/>
          <w:i w:val="0"/>
          <w:strike w:val="0"/>
          <w:noProof w:val="0"/>
          <w:color w:val="000000"/>
          <w:position w:val="0"/>
          <w:sz w:val="18"/>
          <w:u w:val="none"/>
          <w:vertAlign w:val="baseline"/>
        </w:rPr>
        <w:t xml:space="preserve"> (Attorney General is proper custodian).</w:t>
      </w:r>
    </w:p>
  </w:footnote>
  <w:footnote w:id="19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191 </w:t>
      </w:r>
      <w:hyperlink r:id="rId262" w:history="1">
        <w:r>
          <w:rPr>
            <w:rFonts w:ascii="arial" w:eastAsia="arial" w:hAnsi="arial" w:cs="arial"/>
            <w:b w:val="0"/>
            <w:i/>
            <w:strike w:val="0"/>
            <w:noProof w:val="0"/>
            <w:color w:val="0077CC"/>
            <w:position w:val="0"/>
            <w:sz w:val="18"/>
            <w:u w:val="single"/>
            <w:shd w:val="clear" w:color="auto" w:fill="FFFFFF"/>
            <w:vertAlign w:val="baseline"/>
          </w:rPr>
          <w:t>So v. Reno, 251 F. Supp. 2d 1112, 1128 (E.D.N.Y. 2003)</w:t>
        </w:r>
      </w:hyperlink>
      <w:r>
        <w:rPr>
          <w:rFonts w:ascii="arial" w:eastAsia="arial" w:hAnsi="arial" w:cs="arial"/>
          <w:b w:val="0"/>
          <w:i w:val="0"/>
          <w:strike w:val="0"/>
          <w:noProof w:val="0"/>
          <w:color w:val="000000"/>
          <w:position w:val="0"/>
          <w:sz w:val="18"/>
          <w:u w:val="none"/>
          <w:vertAlign w:val="baseline"/>
        </w:rPr>
        <w:t xml:space="preserve"> (“There is personal jurisdiction over the Attorney General in New York, since he or she regularly transacts business in New York in an official capacity.”); </w:t>
      </w:r>
      <w:hyperlink r:id="rId299" w:history="1">
        <w:r>
          <w:rPr>
            <w:rFonts w:ascii="arial" w:eastAsia="arial" w:hAnsi="arial" w:cs="arial"/>
            <w:b w:val="0"/>
            <w:i/>
            <w:strike w:val="0"/>
            <w:noProof w:val="0"/>
            <w:color w:val="0077CC"/>
            <w:position w:val="0"/>
            <w:sz w:val="18"/>
            <w:u w:val="single"/>
            <w:shd w:val="clear" w:color="auto" w:fill="FFFFFF"/>
            <w:vertAlign w:val="baseline"/>
          </w:rPr>
          <w:t>Small v. Ashcroft, 209 F. Supp. 2d 294 (S.D.N.Y. 2002)</w:t>
        </w:r>
      </w:hyperlink>
      <w:r>
        <w:rPr>
          <w:rFonts w:ascii="arial" w:eastAsia="arial" w:hAnsi="arial" w:cs="arial"/>
          <w:b w:val="0"/>
          <w:i w:val="0"/>
          <w:strike w:val="0"/>
          <w:noProof w:val="0"/>
          <w:color w:val="000000"/>
          <w:position w:val="0"/>
          <w:sz w:val="18"/>
          <w:u w:val="none"/>
          <w:vertAlign w:val="baseline"/>
        </w:rPr>
        <w:t xml:space="preserve">; </w:t>
      </w:r>
      <w:hyperlink r:id="rId300" w:history="1">
        <w:r>
          <w:rPr>
            <w:rFonts w:ascii="arial" w:eastAsia="arial" w:hAnsi="arial" w:cs="arial"/>
            <w:b w:val="0"/>
            <w:i/>
            <w:strike w:val="0"/>
            <w:noProof w:val="0"/>
            <w:color w:val="0077CC"/>
            <w:position w:val="0"/>
            <w:sz w:val="18"/>
            <w:u w:val="single"/>
            <w:shd w:val="clear" w:color="auto" w:fill="FFFFFF"/>
            <w:vertAlign w:val="baseline"/>
          </w:rPr>
          <w:t>Cinquemani v. Aschcroft, 2001 U.S. Dist. LEXIS 12163 (E.D.N.Y. Aug. 16, 2001)</w:t>
        </w:r>
      </w:hyperlink>
      <w:r>
        <w:rPr>
          <w:rFonts w:ascii="arial" w:eastAsia="arial" w:hAnsi="arial" w:cs="arial"/>
          <w:b w:val="0"/>
          <w:i w:val="0"/>
          <w:strike w:val="0"/>
          <w:noProof w:val="0"/>
          <w:color w:val="000000"/>
          <w:position w:val="0"/>
          <w:sz w:val="18"/>
          <w:u w:val="none"/>
          <w:vertAlign w:val="baseline"/>
        </w:rPr>
        <w:t xml:space="preserve"> (“There is no question that the Attorney General is a legal custodian of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petitioner being held in DHS custody].”); </w:t>
      </w:r>
      <w:hyperlink r:id="rId274" w:history="1">
        <w:r>
          <w:rPr>
            <w:rFonts w:ascii="arial" w:eastAsia="arial" w:hAnsi="arial" w:cs="arial"/>
            <w:b w:val="0"/>
            <w:i/>
            <w:strike w:val="0"/>
            <w:noProof w:val="0"/>
            <w:color w:val="0077CC"/>
            <w:position w:val="0"/>
            <w:sz w:val="18"/>
            <w:u w:val="single"/>
            <w:shd w:val="clear" w:color="auto" w:fill="FFFFFF"/>
            <w:vertAlign w:val="baseline"/>
          </w:rPr>
          <w:t>Mojica v. Reno, 970 F. Supp. 130, 166–67 (E.D.N.Y. 1997)</w:t>
        </w:r>
      </w:hyperlink>
      <w:r>
        <w:rPr>
          <w:rFonts w:ascii="arial" w:eastAsia="arial" w:hAnsi="arial" w:cs="arial"/>
          <w:b w:val="0"/>
          <w:i w:val="0"/>
          <w:strike w:val="0"/>
          <w:noProof w:val="0"/>
          <w:color w:val="000000"/>
          <w:position w:val="0"/>
          <w:sz w:val="18"/>
          <w:u w:val="none"/>
          <w:vertAlign w:val="baseline"/>
        </w:rPr>
        <w:t xml:space="preserve"> (the Attorney General is one of several custodians),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 xml:space="preserve">; </w:t>
      </w:r>
      <w:hyperlink r:id="rId276" w:history="1">
        <w:r>
          <w:rPr>
            <w:rFonts w:ascii="arial" w:eastAsia="arial" w:hAnsi="arial" w:cs="arial"/>
            <w:b w:val="0"/>
            <w:i/>
            <w:strike w:val="0"/>
            <w:noProof w:val="0"/>
            <w:color w:val="0077CC"/>
            <w:position w:val="0"/>
            <w:sz w:val="18"/>
            <w:u w:val="single"/>
            <w:shd w:val="clear" w:color="auto" w:fill="FFFFFF"/>
            <w:vertAlign w:val="baseline"/>
          </w:rPr>
          <w:t>Nwankwo v. Reno, 828 F. Supp. 171, 173–74 (E.D.N.Y. 1993)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01" w:history="1">
        <w:r>
          <w:rPr>
            <w:rFonts w:ascii="arial" w:eastAsia="arial" w:hAnsi="arial" w:cs="arial"/>
            <w:b w:val="0"/>
            <w:i/>
            <w:strike w:val="0"/>
            <w:noProof w:val="0"/>
            <w:color w:val="0077CC"/>
            <w:position w:val="0"/>
            <w:sz w:val="18"/>
            <w:u w:val="single"/>
            <w:shd w:val="clear" w:color="auto" w:fill="FFFFFF"/>
            <w:vertAlign w:val="baseline"/>
          </w:rPr>
          <w:t>Ali v. Ashcroft, 213 F.R.D. 390, 408 (W.D. Wash. 2003)</w:t>
        </w:r>
      </w:hyperlink>
      <w:r>
        <w:rPr>
          <w:rFonts w:ascii="arial" w:eastAsia="arial" w:hAnsi="arial" w:cs="arial"/>
          <w:b w:val="0"/>
          <w:i w:val="0"/>
          <w:strike w:val="0"/>
          <w:noProof w:val="0"/>
          <w:color w:val="000000"/>
          <w:position w:val="0"/>
          <w:sz w:val="18"/>
          <w:u w:val="none"/>
          <w:vertAlign w:val="baseline"/>
        </w:rPr>
        <w:t xml:space="preserve"> (Attorney General and INS Commissioner were appropriately named as respondents for class action challenging Attorney General’s statutory authority to remove large numbers of unidentified Somalis located across the country), </w:t>
      </w:r>
      <w:r>
        <w:rPr>
          <w:rFonts w:ascii="arial" w:eastAsia="arial" w:hAnsi="arial" w:cs="arial"/>
          <w:b w:val="0"/>
          <w:i/>
          <w:strike w:val="0"/>
          <w:noProof w:val="0"/>
          <w:color w:val="000000"/>
          <w:position w:val="0"/>
          <w:sz w:val="18"/>
          <w:u w:val="none"/>
          <w:vertAlign w:val="baseline"/>
        </w:rPr>
        <w:t>aff’d</w:t>
      </w:r>
      <w:r>
        <w:rPr>
          <w:rFonts w:ascii="arial" w:eastAsia="arial" w:hAnsi="arial" w:cs="arial"/>
          <w:b w:val="0"/>
          <w:i w:val="0"/>
          <w:strike w:val="0"/>
          <w:noProof w:val="0"/>
          <w:color w:val="000000"/>
          <w:position w:val="0"/>
          <w:sz w:val="18"/>
          <w:u w:val="none"/>
          <w:vertAlign w:val="baseline"/>
        </w:rPr>
        <w:t xml:space="preserve">, </w:t>
      </w:r>
      <w:hyperlink r:id="rId302" w:history="1">
        <w:r>
          <w:rPr>
            <w:rFonts w:ascii="arial" w:eastAsia="arial" w:hAnsi="arial" w:cs="arial"/>
            <w:b w:val="0"/>
            <w:i/>
            <w:strike w:val="0"/>
            <w:noProof w:val="0"/>
            <w:color w:val="0077CC"/>
            <w:position w:val="0"/>
            <w:sz w:val="18"/>
            <w:u w:val="single"/>
            <w:shd w:val="clear" w:color="auto" w:fill="FFFFFF"/>
            <w:vertAlign w:val="baseline"/>
          </w:rPr>
          <w:t>346 F.3d 873 (9th Cir.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sub nom.</w:t>
      </w:r>
      <w:r>
        <w:rPr>
          <w:rFonts w:ascii="arial" w:eastAsia="arial" w:hAnsi="arial" w:cs="arial"/>
          <w:b w:val="0"/>
          <w:i w:val="0"/>
          <w:strike w:val="0"/>
          <w:noProof w:val="0"/>
          <w:color w:val="000000"/>
          <w:position w:val="0"/>
          <w:sz w:val="18"/>
          <w:u w:val="none"/>
          <w:vertAlign w:val="baseline"/>
        </w:rPr>
        <w:t xml:space="preserve"> </w:t>
      </w:r>
      <w:hyperlink r:id="rId173" w:history="1">
        <w:r>
          <w:rPr>
            <w:rFonts w:ascii="arial" w:eastAsia="arial" w:hAnsi="arial" w:cs="arial"/>
            <w:b w:val="0"/>
            <w:i/>
            <w:strike w:val="0"/>
            <w:noProof w:val="0"/>
            <w:color w:val="0077CC"/>
            <w:position w:val="0"/>
            <w:sz w:val="18"/>
            <w:u w:val="single"/>
            <w:shd w:val="clear" w:color="auto" w:fill="FFFFFF"/>
            <w:vertAlign w:val="baseline"/>
          </w:rPr>
          <w:t>Ali v. Gonzales, 421 F.3d 795 (9th Cir. 2005)</w:t>
        </w:r>
      </w:hyperlink>
      <w:r>
        <w:rPr>
          <w:rFonts w:ascii="arial" w:eastAsia="arial" w:hAnsi="arial" w:cs="arial"/>
          <w:b w:val="0"/>
          <w:i w:val="0"/>
          <w:strike w:val="0"/>
          <w:noProof w:val="0"/>
          <w:color w:val="000000"/>
          <w:position w:val="0"/>
          <w:sz w:val="18"/>
          <w:u w:val="none"/>
          <w:vertAlign w:val="baseline"/>
        </w:rPr>
        <w:t>.</w:t>
      </w:r>
    </w:p>
  </w:footnote>
  <w:footnote w:id="19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192 </w:t>
      </w:r>
      <w:hyperlink r:id="rId279" w:history="1">
        <w:r>
          <w:rPr>
            <w:rFonts w:ascii="arial" w:eastAsia="arial" w:hAnsi="arial" w:cs="arial"/>
            <w:b w:val="0"/>
            <w:i/>
            <w:strike w:val="0"/>
            <w:noProof w:val="0"/>
            <w:color w:val="0077CC"/>
            <w:position w:val="0"/>
            <w:sz w:val="18"/>
            <w:u w:val="single"/>
            <w:shd w:val="clear" w:color="auto" w:fill="FFFFFF"/>
            <w:vertAlign w:val="baseline"/>
          </w:rPr>
          <w:t>Chavez-Rivas v. Olsen, 194 F. Supp. 2d 368, 374 (D.N.J. 2002)</w:t>
        </w:r>
      </w:hyperlink>
      <w:r>
        <w:rPr>
          <w:rFonts w:ascii="arial" w:eastAsia="arial" w:hAnsi="arial" w:cs="arial"/>
          <w:b w:val="0"/>
          <w:i w:val="0"/>
          <w:strike w:val="0"/>
          <w:noProof w:val="0"/>
          <w:color w:val="000000"/>
          <w:position w:val="0"/>
          <w:sz w:val="18"/>
          <w:u w:val="none"/>
          <w:vertAlign w:val="baseline"/>
        </w:rPr>
        <w:t>.</w:t>
      </w:r>
    </w:p>
  </w:footnote>
  <w:footnote w:id="19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193 </w:t>
      </w:r>
      <w:hyperlink r:id="rId303" w:history="1">
        <w:r>
          <w:rPr>
            <w:rFonts w:ascii="arial" w:eastAsia="arial" w:hAnsi="arial" w:cs="arial"/>
            <w:b w:val="0"/>
            <w:i/>
            <w:strike w:val="0"/>
            <w:noProof w:val="0"/>
            <w:color w:val="0077CC"/>
            <w:position w:val="0"/>
            <w:sz w:val="18"/>
            <w:u w:val="single"/>
            <w:shd w:val="clear" w:color="auto" w:fill="FFFFFF"/>
            <w:vertAlign w:val="baseline"/>
          </w:rPr>
          <w:t>Lee v. Ashcroft, 216 F. Supp. 2d 51, 54–55 (E.D.N.Y. 2002)</w:t>
        </w:r>
      </w:hyperlink>
      <w:r>
        <w:rPr>
          <w:rFonts w:ascii="arial" w:eastAsia="arial" w:hAnsi="arial" w:cs="arial"/>
          <w:b w:val="0"/>
          <w:i w:val="0"/>
          <w:strike w:val="0"/>
          <w:noProof w:val="0"/>
          <w:color w:val="000000"/>
          <w:position w:val="0"/>
          <w:sz w:val="18"/>
          <w:u w:val="none"/>
          <w:vertAlign w:val="baseline"/>
        </w:rPr>
        <w:t xml:space="preserve"> (collecting cases and noting that: (1) the Attorney General had the power to produce, detain, and release petitioners and was the ultimate decision-maker on removal matters; (2) Congress had designated the Attorney General as legal custodian of noncitizens; and (3) there is a compelling practical interest in protecting local district courts from becoming overwhelmed with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petitions); </w:t>
      </w:r>
      <w:hyperlink r:id="rId274" w:history="1">
        <w:r>
          <w:rPr>
            <w:rFonts w:ascii="arial" w:eastAsia="arial" w:hAnsi="arial" w:cs="arial"/>
            <w:b w:val="0"/>
            <w:i/>
            <w:strike w:val="0"/>
            <w:noProof w:val="0"/>
            <w:color w:val="0077CC"/>
            <w:position w:val="0"/>
            <w:sz w:val="18"/>
            <w:u w:val="single"/>
            <w:shd w:val="clear" w:color="auto" w:fill="FFFFFF"/>
            <w:vertAlign w:val="baseline"/>
          </w:rPr>
          <w:t>Mojica v. Reno, 970 F. Supp. 130, 167 (E.D.N.Y. 1997)</w:t>
        </w:r>
      </w:hyperlink>
      <w:r>
        <w:rPr>
          <w:rFonts w:ascii="arial" w:eastAsia="arial" w:hAnsi="arial" w:cs="arial"/>
          <w:b w:val="0"/>
          <w:i w:val="0"/>
          <w:strike w:val="0"/>
          <w:noProof w:val="0"/>
          <w:color w:val="000000"/>
          <w:position w:val="0"/>
          <w:sz w:val="18"/>
          <w:u w:val="none"/>
          <w:vertAlign w:val="baseline"/>
        </w:rPr>
        <w:t xml:space="preserve"> (quoting </w:t>
      </w:r>
      <w:hyperlink r:id="rId276" w:history="1">
        <w:r>
          <w:rPr>
            <w:rFonts w:ascii="arial" w:eastAsia="arial" w:hAnsi="arial" w:cs="arial"/>
            <w:b w:val="0"/>
            <w:i/>
            <w:strike w:val="0"/>
            <w:noProof w:val="0"/>
            <w:color w:val="0077CC"/>
            <w:position w:val="0"/>
            <w:sz w:val="18"/>
            <w:u w:val="single"/>
            <w:shd w:val="clear" w:color="auto" w:fill="FFFFFF"/>
            <w:vertAlign w:val="baseline"/>
          </w:rPr>
          <w:t>Nwankwo v. Reno, 828 F. Supp. 171, 175 (E.D.N.Y. 1993))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122–24 (2d Cir. 1998)</w:t>
        </w:r>
      </w:hyperlink>
      <w:r>
        <w:rPr>
          <w:rFonts w:ascii="arial" w:eastAsia="arial" w:hAnsi="arial" w:cs="arial"/>
          <w:b w:val="0"/>
          <w:i w:val="0"/>
          <w:strike w:val="0"/>
          <w:noProof w:val="0"/>
          <w:color w:val="000000"/>
          <w:position w:val="0"/>
          <w:sz w:val="18"/>
          <w:u w:val="none"/>
          <w:vertAlign w:val="baseline"/>
        </w:rPr>
        <w:t>.</w:t>
      </w:r>
    </w:p>
  </w:footnote>
  <w:footnote w:id="19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194 </w:t>
      </w:r>
      <w:hyperlink r:id="rId303" w:history="1">
        <w:r>
          <w:rPr>
            <w:rFonts w:ascii="arial" w:eastAsia="arial" w:hAnsi="arial" w:cs="arial"/>
            <w:b w:val="0"/>
            <w:i/>
            <w:strike w:val="0"/>
            <w:noProof w:val="0"/>
            <w:color w:val="0077CC"/>
            <w:position w:val="0"/>
            <w:sz w:val="18"/>
            <w:u w:val="single"/>
            <w:shd w:val="clear" w:color="auto" w:fill="FFFFFF"/>
            <w:vertAlign w:val="baseline"/>
          </w:rPr>
          <w:t>Lee v. Ashcroft, 216 F. Supp. 2d 51, 54–55 (E.D.N.Y. 2002)</w:t>
        </w:r>
      </w:hyperlink>
      <w:r>
        <w:rPr>
          <w:rFonts w:ascii="arial" w:eastAsia="arial" w:hAnsi="arial" w:cs="arial"/>
          <w:b w:val="0"/>
          <w:i w:val="0"/>
          <w:strike w:val="0"/>
          <w:noProof w:val="0"/>
          <w:color w:val="000000"/>
          <w:position w:val="0"/>
          <w:sz w:val="18"/>
          <w:u w:val="none"/>
          <w:vertAlign w:val="baseline"/>
        </w:rPr>
        <w:t>.</w:t>
      </w:r>
    </w:p>
  </w:footnote>
  <w:footnote w:id="19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195 </w:t>
      </w:r>
      <w:hyperlink r:id="rId304" w:history="1">
        <w:r>
          <w:rPr>
            <w:rFonts w:ascii="arial" w:eastAsia="arial" w:hAnsi="arial" w:cs="arial"/>
            <w:b w:val="0"/>
            <w:i/>
            <w:strike w:val="0"/>
            <w:noProof w:val="0"/>
            <w:color w:val="0077CC"/>
            <w:position w:val="0"/>
            <w:sz w:val="18"/>
            <w:u w:val="single"/>
            <w:shd w:val="clear" w:color="auto" w:fill="FFFFFF"/>
            <w:vertAlign w:val="baseline"/>
          </w:rPr>
          <w:t>Armentero v. INS, 340 F.3d 1058, 1073 (9th Cir. 2003)</w:t>
        </w:r>
      </w:hyperlink>
      <w:r>
        <w:rPr>
          <w:rFonts w:ascii="arial" w:eastAsia="arial" w:hAnsi="arial" w:cs="arial"/>
          <w:b w:val="0"/>
          <w:i w:val="0"/>
          <w:strike w:val="0"/>
          <w:noProof w:val="0"/>
          <w:color w:val="000000"/>
          <w:position w:val="0"/>
          <w:sz w:val="18"/>
          <w:u w:val="none"/>
          <w:vertAlign w:val="baseline"/>
        </w:rPr>
        <w:t xml:space="preserve"> (emphasis in original), </w:t>
      </w:r>
      <w:r>
        <w:rPr>
          <w:rFonts w:ascii="arial" w:eastAsia="arial" w:hAnsi="arial" w:cs="arial"/>
          <w:b w:val="0"/>
          <w:i/>
          <w:strike w:val="0"/>
          <w:noProof w:val="0"/>
          <w:color w:val="000000"/>
          <w:position w:val="0"/>
          <w:sz w:val="18"/>
          <w:u w:val="none"/>
          <w:vertAlign w:val="baseline"/>
        </w:rPr>
        <w:t>vacated</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382 F.3d 1153 (9th Cir. 2004)</w:t>
      </w:r>
      <w:r>
        <w:rPr>
          <w:rFonts w:ascii="arial" w:eastAsia="arial" w:hAnsi="arial" w:cs="arial"/>
          <w:b w:val="0"/>
          <w:i w:val="0"/>
          <w:strike w:val="0"/>
          <w:noProof w:val="0"/>
          <w:color w:val="000000"/>
          <w:position w:val="0"/>
          <w:sz w:val="18"/>
          <w:u w:val="none"/>
          <w:vertAlign w:val="baseline"/>
        </w:rPr>
        <w:t xml:space="preserve"> (discussing previous Supreme Court and circuit precedent).</w:t>
      </w:r>
    </w:p>
  </w:footnote>
  <w:footnote w:id="19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196 </w:t>
      </w:r>
      <w:hyperlink r:id="rId271"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271" w:history="1">
        <w:r>
          <w:rPr>
            <w:rFonts w:ascii="arial" w:eastAsia="arial" w:hAnsi="arial" w:cs="arial"/>
            <w:b w:val="0"/>
            <w:i/>
            <w:strike w:val="0"/>
            <w:noProof w:val="0"/>
            <w:color w:val="0077CC"/>
            <w:position w:val="0"/>
            <w:sz w:val="18"/>
            <w:u w:val="single"/>
            <w:shd w:val="clear" w:color="auto" w:fill="FFFFFF"/>
            <w:vertAlign w:val="baseline"/>
          </w:rPr>
          <w:t xml:space="preserve"> Endo, 323 U.S. 283, 305–06 (1944)</w:t>
        </w:r>
      </w:hyperlink>
      <w:r>
        <w:rPr>
          <w:rFonts w:ascii="arial" w:eastAsia="arial" w:hAnsi="arial" w:cs="arial"/>
          <w:b w:val="0"/>
          <w:i w:val="0"/>
          <w:strike w:val="0"/>
          <w:noProof w:val="0"/>
          <w:color w:val="000000"/>
          <w:position w:val="0"/>
          <w:sz w:val="18"/>
          <w:u w:val="none"/>
          <w:vertAlign w:val="baseline"/>
        </w:rPr>
        <w:t xml:space="preserve">; </w:t>
      </w:r>
      <w:hyperlink r:id="rId305" w:history="1">
        <w:r>
          <w:rPr>
            <w:rFonts w:ascii="arial" w:eastAsia="arial" w:hAnsi="arial" w:cs="arial"/>
            <w:b w:val="0"/>
            <w:i/>
            <w:strike w:val="0"/>
            <w:noProof w:val="0"/>
            <w:color w:val="0077CC"/>
            <w:position w:val="0"/>
            <w:sz w:val="18"/>
            <w:u w:val="single"/>
            <w:shd w:val="clear" w:color="auto" w:fill="FFFFFF"/>
            <w:vertAlign w:val="baseline"/>
          </w:rPr>
          <w:t>Osses v. McElroy, 287 F. Supp. 2d 199 (W.D.N.Y. 2003)</w:t>
        </w:r>
      </w:hyperlink>
      <w:r>
        <w:rPr>
          <w:rFonts w:ascii="arial" w:eastAsia="arial" w:hAnsi="arial" w:cs="arial"/>
          <w:b w:val="0"/>
          <w:i w:val="0"/>
          <w:strike w:val="0"/>
          <w:noProof w:val="0"/>
          <w:color w:val="000000"/>
          <w:position w:val="0"/>
          <w:sz w:val="18"/>
          <w:u w:val="none"/>
          <w:vertAlign w:val="baseline"/>
        </w:rPr>
        <w:t xml:space="preserve"> (jurisdiction retained where petitioner was transferred to another state); </w:t>
      </w:r>
      <w:hyperlink r:id="rId279" w:history="1">
        <w:r>
          <w:rPr>
            <w:rFonts w:ascii="arial" w:eastAsia="arial" w:hAnsi="arial" w:cs="arial"/>
            <w:b w:val="0"/>
            <w:i/>
            <w:strike w:val="0"/>
            <w:noProof w:val="0"/>
            <w:color w:val="0077CC"/>
            <w:position w:val="0"/>
            <w:sz w:val="18"/>
            <w:u w:val="single"/>
            <w:shd w:val="clear" w:color="auto" w:fill="FFFFFF"/>
            <w:vertAlign w:val="baseline"/>
          </w:rPr>
          <w:t>Chavez-Rivas v. Olsen, 194 F. Supp. 2d 368 (D.N.J. 2002)</w:t>
        </w:r>
      </w:hyperlink>
      <w:r>
        <w:rPr>
          <w:rFonts w:ascii="arial" w:eastAsia="arial" w:hAnsi="arial" w:cs="arial"/>
          <w:b w:val="0"/>
          <w:i w:val="0"/>
          <w:strike w:val="0"/>
          <w:noProof w:val="0"/>
          <w:color w:val="000000"/>
          <w:position w:val="0"/>
          <w:sz w:val="18"/>
          <w:u w:val="none"/>
          <w:vertAlign w:val="baseline"/>
        </w:rPr>
        <w:t xml:space="preserve"> (where transfer of petitioner would deprive court of jurisdiction, court held that Attorney General is custodian); </w:t>
      </w:r>
      <w:hyperlink r:id="rId274" w:history="1">
        <w:r>
          <w:rPr>
            <w:rFonts w:ascii="arial" w:eastAsia="arial" w:hAnsi="arial" w:cs="arial"/>
            <w:b w:val="0"/>
            <w:i/>
            <w:strike w:val="0"/>
            <w:noProof w:val="0"/>
            <w:color w:val="0077CC"/>
            <w:position w:val="0"/>
            <w:sz w:val="18"/>
            <w:u w:val="single"/>
            <w:shd w:val="clear" w:color="auto" w:fill="FFFFFF"/>
            <w:vertAlign w:val="baseline"/>
          </w:rPr>
          <w:t>Mojica v. Reno, 970 F. Supp. 130, 165 (E.D.N.Y. 1997)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w:t>
      </w:r>
    </w:p>
  </w:footnote>
  <w:footnote w:id="19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197 </w:t>
      </w:r>
      <w:hyperlink r:id="rId271"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271" w:history="1">
        <w:r>
          <w:rPr>
            <w:rFonts w:ascii="arial" w:eastAsia="arial" w:hAnsi="arial" w:cs="arial"/>
            <w:b w:val="0"/>
            <w:i/>
            <w:strike w:val="0"/>
            <w:noProof w:val="0"/>
            <w:color w:val="0077CC"/>
            <w:position w:val="0"/>
            <w:sz w:val="18"/>
            <w:u w:val="single"/>
            <w:shd w:val="clear" w:color="auto" w:fill="FFFFFF"/>
            <w:vertAlign w:val="baseline"/>
          </w:rPr>
          <w:t xml:space="preserve"> Endo, 323 U.S. 283, 305–06 (1944)</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79" w:history="1">
        <w:r>
          <w:rPr>
            <w:rFonts w:ascii="arial" w:eastAsia="arial" w:hAnsi="arial" w:cs="arial"/>
            <w:b w:val="0"/>
            <w:i/>
            <w:strike w:val="0"/>
            <w:noProof w:val="0"/>
            <w:color w:val="0077CC"/>
            <w:position w:val="0"/>
            <w:sz w:val="18"/>
            <w:u w:val="single"/>
            <w:shd w:val="clear" w:color="auto" w:fill="FFFFFF"/>
            <w:vertAlign w:val="baseline"/>
          </w:rPr>
          <w:t>Chaves-Rivas v. Olsen, 194 F. Supp. 2d 368 (D.N.J. 2002)</w:t>
        </w:r>
      </w:hyperlink>
      <w:r>
        <w:rPr>
          <w:rFonts w:ascii="arial" w:eastAsia="arial" w:hAnsi="arial" w:cs="arial"/>
          <w:b w:val="0"/>
          <w:i w:val="0"/>
          <w:strike w:val="0"/>
          <w:noProof w:val="0"/>
          <w:color w:val="000000"/>
          <w:position w:val="0"/>
          <w:sz w:val="18"/>
          <w:u w:val="none"/>
          <w:vertAlign w:val="baseline"/>
        </w:rPr>
        <w:t xml:space="preserve"> (“passing about of the body from one custodian to another after a writ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has been applied for [cannot] defeat the jurisdiction of the Court to hear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(quoting </w:t>
      </w:r>
      <w:hyperlink r:id="rId306"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306" w:history="1">
        <w:r>
          <w:rPr>
            <w:rFonts w:ascii="arial" w:eastAsia="arial" w:hAnsi="arial" w:cs="arial"/>
            <w:b w:val="0"/>
            <w:i/>
            <w:strike w:val="0"/>
            <w:noProof w:val="0"/>
            <w:color w:val="0077CC"/>
            <w:position w:val="0"/>
            <w:sz w:val="18"/>
            <w:u w:val="single"/>
            <w:shd w:val="clear" w:color="auto" w:fill="FFFFFF"/>
            <w:vertAlign w:val="baseline"/>
          </w:rPr>
          <w:t xml:space="preserve"> Catanzaro, 138 F.2d 100, 101 (3d Cir. 1943))</w:t>
        </w:r>
      </w:hyperlink>
      <w:r>
        <w:rPr>
          <w:rFonts w:ascii="arial" w:eastAsia="arial" w:hAnsi="arial" w:cs="arial"/>
          <w:b w:val="0"/>
          <w:i w:val="0"/>
          <w:strike w:val="0"/>
          <w:noProof w:val="0"/>
          <w:color w:val="000000"/>
          <w:position w:val="0"/>
          <w:sz w:val="18"/>
          <w:u w:val="none"/>
          <w:vertAlign w:val="baseline"/>
        </w:rPr>
        <w:t xml:space="preserve"> (alteration in original; internal quotation marks omitted)); </w:t>
      </w:r>
      <w:hyperlink r:id="rId307" w:history="1">
        <w:r>
          <w:rPr>
            <w:rFonts w:ascii="arial" w:eastAsia="arial" w:hAnsi="arial" w:cs="arial"/>
            <w:b w:val="0"/>
            <w:i/>
            <w:strike w:val="0"/>
            <w:noProof w:val="0"/>
            <w:color w:val="0077CC"/>
            <w:position w:val="0"/>
            <w:sz w:val="18"/>
            <w:u w:val="single"/>
            <w:shd w:val="clear" w:color="auto" w:fill="FFFFFF"/>
            <w:vertAlign w:val="baseline"/>
          </w:rPr>
          <w:t>Caballero v. United States, 145 F. Supp. 2d 550, 557 (D.N.J. 2001)</w:t>
        </w:r>
      </w:hyperlink>
      <w:r>
        <w:rPr>
          <w:rFonts w:ascii="arial" w:eastAsia="arial" w:hAnsi="arial" w:cs="arial"/>
          <w:b w:val="0"/>
          <w:i w:val="0"/>
          <w:strike w:val="0"/>
          <w:noProof w:val="0"/>
          <w:color w:val="000000"/>
          <w:position w:val="0"/>
          <w:sz w:val="18"/>
          <w:u w:val="none"/>
          <w:vertAlign w:val="baseline"/>
        </w:rPr>
        <w:t xml:space="preserve"> (transfer of petitioner to another detention facility did not affect the district court’s jurisdiction).</w:t>
      </w:r>
    </w:p>
  </w:footnote>
  <w:footnote w:id="19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198 </w:t>
      </w:r>
      <w:hyperlink r:id="rId271"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271" w:history="1">
        <w:r>
          <w:rPr>
            <w:rFonts w:ascii="arial" w:eastAsia="arial" w:hAnsi="arial" w:cs="arial"/>
            <w:b w:val="0"/>
            <w:i/>
            <w:strike w:val="0"/>
            <w:noProof w:val="0"/>
            <w:color w:val="0077CC"/>
            <w:position w:val="0"/>
            <w:sz w:val="18"/>
            <w:u w:val="single"/>
            <w:shd w:val="clear" w:color="auto" w:fill="FFFFFF"/>
            <w:vertAlign w:val="baseline"/>
          </w:rPr>
          <w:t xml:space="preserve"> Endo, 323 U.S. at 304, 307</w:t>
        </w:r>
      </w:hyperlink>
      <w:r>
        <w:rPr>
          <w:rFonts w:ascii="arial" w:eastAsia="arial" w:hAnsi="arial" w:cs="arial"/>
          <w:b w:val="0"/>
          <w:i w:val="0"/>
          <w:strike w:val="0"/>
          <w:noProof w:val="0"/>
          <w:color w:val="000000"/>
          <w:position w:val="0"/>
          <w:sz w:val="18"/>
          <w:u w:val="none"/>
          <w:vertAlign w:val="baseline"/>
        </w:rPr>
        <w:t>.</w:t>
      </w:r>
    </w:p>
  </w:footnote>
  <w:footnote w:id="1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199 </w:t>
      </w:r>
      <w:hyperlink r:id="rId308" w:history="1">
        <w:r>
          <w:rPr>
            <w:rFonts w:ascii="arial" w:eastAsia="arial" w:hAnsi="arial" w:cs="arial"/>
            <w:b w:val="0"/>
            <w:i/>
            <w:strike w:val="0"/>
            <w:noProof w:val="0"/>
            <w:color w:val="0077CC"/>
            <w:position w:val="0"/>
            <w:sz w:val="18"/>
            <w:u w:val="single"/>
            <w:shd w:val="clear" w:color="auto" w:fill="FFFFFF"/>
            <w:vertAlign w:val="baseline"/>
          </w:rPr>
          <w:t>18 U.S.C. § 401</w:t>
        </w:r>
      </w:hyperlink>
      <w:r>
        <w:rPr>
          <w:rFonts w:ascii="arial" w:eastAsia="arial" w:hAnsi="arial" w:cs="arial"/>
          <w:b w:val="0"/>
          <w:i w:val="0"/>
          <w:strike w:val="0"/>
          <w:noProof w:val="0"/>
          <w:color w:val="000000"/>
          <w:position w:val="0"/>
          <w:sz w:val="18"/>
          <w:u w:val="none"/>
          <w:vertAlign w:val="baseline"/>
        </w:rPr>
        <w:t>.</w:t>
      </w:r>
    </w:p>
  </w:footnote>
  <w:footnote w:id="200">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200 </w:t>
      </w:r>
      <w:r>
        <w:rPr>
          <w:rFonts w:ascii="arial" w:eastAsia="arial" w:hAnsi="arial" w:cs="arial"/>
          <w:b w:val="0"/>
          <w:i/>
          <w:strike w:val="0"/>
          <w:noProof w:val="0"/>
          <w:color w:val="000000"/>
          <w:position w:val="0"/>
          <w:sz w:val="18"/>
          <w:u w:val="none"/>
          <w:vertAlign w:val="baseline"/>
        </w:rPr>
        <w:t>See also supra</w:t>
      </w:r>
      <w:r>
        <w:rPr>
          <w:rFonts w:ascii="arial" w:eastAsia="arial" w:hAnsi="arial" w:cs="arial"/>
          <w:b w:val="0"/>
          <w:i w:val="0"/>
          <w:strike w:val="0"/>
          <w:noProof w:val="0"/>
          <w:color w:val="000000"/>
          <w:position w:val="0"/>
          <w:sz w:val="18"/>
          <w:u w:val="none"/>
          <w:vertAlign w:val="baseline"/>
        </w:rPr>
        <w:t xml:space="preserve"> § 104.04[5] (closely related concept of jurisdiction over the custodian).</w:t>
      </w:r>
    </w:p>
  </w:footnote>
  <w:footnote w:id="20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201 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w:t>
      </w:r>
    </w:p>
  </w:footnote>
  <w:footnote w:id="20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202 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2241(a)</w:t>
        </w:r>
      </w:hyperlink>
      <w:r>
        <w:rPr>
          <w:rFonts w:ascii="arial" w:eastAsia="arial" w:hAnsi="arial" w:cs="arial"/>
          <w:b w:val="0"/>
          <w:i w:val="0"/>
          <w:strike w:val="0"/>
          <w:noProof w:val="0"/>
          <w:color w:val="000000"/>
          <w:position w:val="0"/>
          <w:sz w:val="18"/>
          <w:u w:val="none"/>
          <w:vertAlign w:val="baseline"/>
        </w:rPr>
        <w:t xml:space="preserve">, </w:t>
      </w:r>
      <w:hyperlink r:id="rId309" w:history="1">
        <w:r>
          <w:rPr>
            <w:rFonts w:ascii="arial" w:eastAsia="arial" w:hAnsi="arial" w:cs="arial"/>
            <w:b w:val="0"/>
            <w:i/>
            <w:strike w:val="0"/>
            <w:noProof w:val="0"/>
            <w:color w:val="0077CC"/>
            <w:position w:val="0"/>
            <w:sz w:val="18"/>
            <w:u w:val="single"/>
            <w:shd w:val="clear" w:color="auto" w:fill="FFFFFF"/>
            <w:vertAlign w:val="baseline"/>
          </w:rPr>
          <w:t>2242</w:t>
        </w:r>
      </w:hyperlink>
      <w:r>
        <w:rPr>
          <w:rFonts w:ascii="arial" w:eastAsia="arial" w:hAnsi="arial" w:cs="arial"/>
          <w:b w:val="0"/>
          <w:i w:val="0"/>
          <w:strike w:val="0"/>
          <w:noProof w:val="0"/>
          <w:color w:val="000000"/>
          <w:position w:val="0"/>
          <w:sz w:val="18"/>
          <w:u w:val="none"/>
          <w:vertAlign w:val="baseline"/>
        </w:rPr>
        <w:t xml:space="preserve">; </w:t>
      </w:r>
      <w:hyperlink r:id="rId310"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310" w:history="1">
        <w:r>
          <w:rPr>
            <w:rFonts w:ascii="arial" w:eastAsia="arial" w:hAnsi="arial" w:cs="arial"/>
            <w:b w:val="0"/>
            <w:i/>
            <w:strike w:val="0"/>
            <w:noProof w:val="0"/>
            <w:color w:val="0077CC"/>
            <w:position w:val="0"/>
            <w:sz w:val="18"/>
            <w:u w:val="single"/>
            <w:shd w:val="clear" w:color="auto" w:fill="FFFFFF"/>
            <w:vertAlign w:val="baseline"/>
          </w:rPr>
          <w:t xml:space="preserve"> Hawk, 321 U.S. 114 (1944)</w:t>
        </w:r>
      </w:hyperlink>
      <w:r>
        <w:rPr>
          <w:rFonts w:ascii="arial" w:eastAsia="arial" w:hAnsi="arial" w:cs="arial"/>
          <w:b w:val="0"/>
          <w:i w:val="0"/>
          <w:strike w:val="0"/>
          <w:noProof w:val="0"/>
          <w:color w:val="000000"/>
          <w:position w:val="0"/>
          <w:sz w:val="18"/>
          <w:u w:val="none"/>
          <w:vertAlign w:val="baseline"/>
        </w:rPr>
        <w:t xml:space="preserve">; </w:t>
      </w:r>
      <w:hyperlink r:id="rId311" w:history="1">
        <w:r>
          <w:rPr>
            <w:rFonts w:ascii="arial" w:eastAsia="arial" w:hAnsi="arial" w:cs="arial"/>
            <w:b w:val="0"/>
            <w:i/>
            <w:strike w:val="0"/>
            <w:noProof w:val="0"/>
            <w:color w:val="0077CC"/>
            <w:position w:val="0"/>
            <w:sz w:val="18"/>
            <w:u w:val="single"/>
            <w:shd w:val="clear" w:color="auto" w:fill="FFFFFF"/>
            <w:vertAlign w:val="baseline"/>
          </w:rPr>
          <w:t>In re</w:t>
        </w:r>
      </w:hyperlink>
      <w:hyperlink r:id="rId311" w:history="1">
        <w:r>
          <w:rPr>
            <w:rFonts w:ascii="arial" w:eastAsia="arial" w:hAnsi="arial" w:cs="arial"/>
            <w:b w:val="0"/>
            <w:i/>
            <w:strike w:val="0"/>
            <w:noProof w:val="0"/>
            <w:color w:val="0077CC"/>
            <w:position w:val="0"/>
            <w:sz w:val="18"/>
            <w:u w:val="single"/>
            <w:shd w:val="clear" w:color="auto" w:fill="FFFFFF"/>
            <w:vertAlign w:val="baseline"/>
          </w:rPr>
          <w:t xml:space="preserve"> Tracy, 249 U.S. 551 (1919)</w:t>
        </w:r>
      </w:hyperlink>
      <w:r>
        <w:rPr>
          <w:rFonts w:ascii="arial" w:eastAsia="arial" w:hAnsi="arial" w:cs="arial"/>
          <w:b w:val="0"/>
          <w:i w:val="0"/>
          <w:strike w:val="0"/>
          <w:noProof w:val="0"/>
          <w:color w:val="000000"/>
          <w:position w:val="0"/>
          <w:sz w:val="18"/>
          <w:u w:val="none"/>
          <w:vertAlign w:val="baseline"/>
        </w:rPr>
        <w:t xml:space="preserve">; </w:t>
      </w:r>
      <w:hyperlink r:id="rId273" w:history="1">
        <w:r>
          <w:rPr>
            <w:rFonts w:ascii="arial" w:eastAsia="arial" w:hAnsi="arial" w:cs="arial"/>
            <w:b w:val="0"/>
            <w:i/>
            <w:strike w:val="0"/>
            <w:noProof w:val="0"/>
            <w:color w:val="0077CC"/>
            <w:position w:val="0"/>
            <w:sz w:val="18"/>
            <w:u w:val="single"/>
            <w:shd w:val="clear" w:color="auto" w:fill="FFFFFF"/>
            <w:vertAlign w:val="baseline"/>
          </w:rPr>
          <w:t>Demjanjuk v. Meese, 784 F.2d 1114, 1115–16 (D.C. Cir. 1986)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12" w:history="1">
        <w:r>
          <w:rPr>
            <w:rFonts w:ascii="arial" w:eastAsia="arial" w:hAnsi="arial" w:cs="arial"/>
            <w:b w:val="0"/>
            <w:i/>
            <w:strike w:val="0"/>
            <w:noProof w:val="0"/>
            <w:color w:val="0077CC"/>
            <w:position w:val="0"/>
            <w:sz w:val="18"/>
            <w:u w:val="single"/>
            <w:shd w:val="clear" w:color="auto" w:fill="FFFFFF"/>
            <w:vertAlign w:val="baseline"/>
          </w:rPr>
          <w:t>Emejulu v. INS, 989 F.2d 771 (5th Cir. 1993)</w:t>
        </w:r>
      </w:hyperlink>
      <w:r>
        <w:rPr>
          <w:rFonts w:ascii="arial" w:eastAsia="arial" w:hAnsi="arial" w:cs="arial"/>
          <w:b w:val="0"/>
          <w:i w:val="0"/>
          <w:strike w:val="0"/>
          <w:noProof w:val="0"/>
          <w:color w:val="000000"/>
          <w:position w:val="0"/>
          <w:sz w:val="18"/>
          <w:u w:val="none"/>
          <w:vertAlign w:val="baseline"/>
        </w:rPr>
        <w:t xml:space="preserve"> (finding that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must be filed in district court even though burden was caused by number of cases flowing from Oakdale detention center in W.D. Louisiana).</w:t>
      </w:r>
    </w:p>
  </w:footnote>
  <w:footnote w:id="20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203 </w:t>
      </w:r>
      <w:hyperlink r:id="rId229" w:history="1">
        <w:r>
          <w:rPr>
            <w:rFonts w:ascii="arial" w:eastAsia="arial" w:hAnsi="arial" w:cs="arial"/>
            <w:b w:val="0"/>
            <w:i/>
            <w:strike w:val="0"/>
            <w:noProof w:val="0"/>
            <w:color w:val="0077CC"/>
            <w:position w:val="0"/>
            <w:sz w:val="18"/>
            <w:u w:val="single"/>
            <w:shd w:val="clear" w:color="auto" w:fill="FFFFFF"/>
            <w:vertAlign w:val="baseline"/>
          </w:rPr>
          <w:t>Rumsfeld v. Padilla, 542 U.S. 426 (2004)</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494–95 (1973)</w:t>
        </w:r>
      </w:hyperlink>
      <w:r>
        <w:rPr>
          <w:rFonts w:ascii="arial" w:eastAsia="arial" w:hAnsi="arial" w:cs="arial"/>
          <w:b w:val="0"/>
          <w:i w:val="0"/>
          <w:strike w:val="0"/>
          <w:noProof w:val="0"/>
          <w:color w:val="000000"/>
          <w:position w:val="0"/>
          <w:sz w:val="18"/>
          <w:u w:val="none"/>
          <w:vertAlign w:val="baseline"/>
        </w:rPr>
        <w:t>.</w:t>
      </w:r>
    </w:p>
  </w:footnote>
  <w:footnote w:id="20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204 </w:t>
      </w:r>
      <w:hyperlink r:id="rId268" w:history="1">
        <w:r>
          <w:rPr>
            <w:rFonts w:ascii="arial" w:eastAsia="arial" w:hAnsi="arial" w:cs="arial"/>
            <w:b w:val="0"/>
            <w:i/>
            <w:strike w:val="0"/>
            <w:noProof w:val="0"/>
            <w:color w:val="0077CC"/>
            <w:position w:val="0"/>
            <w:sz w:val="18"/>
            <w:u w:val="single"/>
            <w:shd w:val="clear" w:color="auto" w:fill="FFFFFF"/>
            <w:vertAlign w:val="baseline"/>
          </w:rPr>
          <w:t>Braden</w:t>
        </w:r>
      </w:hyperlink>
      <w:hyperlink r:id="rId268" w:history="1">
        <w:r>
          <w:rPr>
            <w:rFonts w:ascii="arial" w:eastAsia="arial" w:hAnsi="arial" w:cs="arial"/>
            <w:b w:val="0"/>
            <w:i/>
            <w:strike w:val="0"/>
            <w:noProof w:val="0"/>
            <w:color w:val="0077CC"/>
            <w:position w:val="0"/>
            <w:sz w:val="18"/>
            <w:u w:val="single"/>
            <w:shd w:val="clear" w:color="auto" w:fill="FFFFFF"/>
            <w:vertAlign w:val="baseline"/>
          </w:rPr>
          <w:t>, 410 U.S. at 497–98 n.13</w:t>
        </w:r>
      </w:hyperlink>
      <w:r>
        <w:rPr>
          <w:rFonts w:ascii="arial" w:eastAsia="arial" w:hAnsi="arial" w:cs="arial"/>
          <w:b w:val="0"/>
          <w:i w:val="0"/>
          <w:strike w:val="0"/>
          <w:noProof w:val="0"/>
          <w:color w:val="000000"/>
          <w:position w:val="0"/>
          <w:sz w:val="18"/>
          <w:u w:val="none"/>
          <w:vertAlign w:val="baseline"/>
        </w:rPr>
        <w:t>.</w:t>
      </w:r>
    </w:p>
  </w:footnote>
  <w:footnote w:id="205">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205 </w:t>
      </w:r>
      <w:hyperlink r:id="rId262" w:history="1">
        <w:r>
          <w:rPr>
            <w:rFonts w:ascii="arial" w:eastAsia="arial" w:hAnsi="arial" w:cs="arial"/>
            <w:b w:val="0"/>
            <w:i/>
            <w:strike w:val="0"/>
            <w:noProof w:val="0"/>
            <w:color w:val="0077CC"/>
            <w:position w:val="0"/>
            <w:sz w:val="18"/>
            <w:u w:val="single"/>
            <w:shd w:val="clear" w:color="auto" w:fill="FFFFFF"/>
            <w:vertAlign w:val="baseline"/>
          </w:rPr>
          <w:t>So v. Reno, 251 F. Supp. 2d 1112, 1127 (E.D.N.Y. 2003)</w:t>
        </w:r>
      </w:hyperlink>
      <w:r>
        <w:rPr>
          <w:rFonts w:ascii="arial" w:eastAsia="arial" w:hAnsi="arial" w:cs="arial"/>
          <w:b w:val="0"/>
          <w:i w:val="0"/>
          <w:strike w:val="0"/>
          <w:noProof w:val="0"/>
          <w:color w:val="000000"/>
          <w:position w:val="0"/>
          <w:sz w:val="18"/>
          <w:u w:val="none"/>
          <w:vertAlign w:val="baseline"/>
        </w:rPr>
        <w:t xml:space="preserve"> (collecting cases);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96" w:history="1">
        <w:r>
          <w:rPr>
            <w:rFonts w:ascii="arial" w:eastAsia="arial" w:hAnsi="arial" w:cs="arial"/>
            <w:b w:val="0"/>
            <w:i/>
            <w:strike w:val="0"/>
            <w:noProof w:val="0"/>
            <w:color w:val="0077CC"/>
            <w:position w:val="0"/>
            <w:sz w:val="18"/>
            <w:u w:val="single"/>
            <w:shd w:val="clear" w:color="auto" w:fill="FFFFFF"/>
            <w:vertAlign w:val="baseline"/>
          </w:rPr>
          <w:t>Farez-Espinosa v. Chertoff, 600 F. Supp. 2d 488 (S.D.N.Y. 2009)</w:t>
        </w:r>
      </w:hyperlink>
      <w:r>
        <w:rPr>
          <w:rFonts w:ascii="arial" w:eastAsia="arial" w:hAnsi="arial" w:cs="arial"/>
          <w:b w:val="0"/>
          <w:i w:val="0"/>
          <w:strike w:val="0"/>
          <w:noProof w:val="0"/>
          <w:color w:val="000000"/>
          <w:position w:val="0"/>
          <w:sz w:val="18"/>
          <w:u w:val="none"/>
          <w:vertAlign w:val="baseline"/>
        </w:rPr>
        <w:t xml:space="preserve"> (venue proper in New York despite detention in New Jersey); </w:t>
      </w:r>
      <w:hyperlink r:id="rId291" w:history="1">
        <w:r>
          <w:rPr>
            <w:rFonts w:ascii="arial" w:eastAsia="arial" w:hAnsi="arial" w:cs="arial"/>
            <w:b w:val="0"/>
            <w:i/>
            <w:strike w:val="0"/>
            <w:noProof w:val="0"/>
            <w:color w:val="0077CC"/>
            <w:position w:val="0"/>
            <w:sz w:val="18"/>
            <w:u w:val="single"/>
            <w:shd w:val="clear" w:color="auto" w:fill="FFFFFF"/>
            <w:vertAlign w:val="baseline"/>
          </w:rPr>
          <w:t>Barton v. Ashcroft, 152 F. Supp. 2d 235 (D. Conn. 2001)</w:t>
        </w:r>
      </w:hyperlink>
      <w:r>
        <w:rPr>
          <w:rFonts w:ascii="arial" w:eastAsia="arial" w:hAnsi="arial" w:cs="arial"/>
          <w:b w:val="0"/>
          <w:i w:val="0"/>
          <w:strike w:val="0"/>
          <w:noProof w:val="0"/>
          <w:color w:val="000000"/>
          <w:position w:val="0"/>
          <w:sz w:val="18"/>
          <w:u w:val="none"/>
          <w:vertAlign w:val="baseline"/>
        </w:rPr>
        <w:t xml:space="preserve"> (venue proper in Connecticut for detainee in Louisiana).</w:t>
      </w:r>
    </w:p>
  </w:footnote>
  <w:footnote w:id="20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206 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128 n.25 (2d Cir. 1998)</w:t>
        </w:r>
      </w:hyperlink>
      <w:r>
        <w:rPr>
          <w:rFonts w:ascii="arial" w:eastAsia="arial" w:hAnsi="arial" w:cs="arial"/>
          <w:b w:val="0"/>
          <w:i w:val="0"/>
          <w:strike w:val="0"/>
          <w:noProof w:val="0"/>
          <w:color w:val="000000"/>
          <w:position w:val="0"/>
          <w:sz w:val="18"/>
          <w:u w:val="none"/>
          <w:vertAlign w:val="baseline"/>
        </w:rPr>
        <w:t xml:space="preserve"> (citing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493–94 (1973))</w:t>
        </w:r>
      </w:hyperlink>
      <w:r>
        <w:rPr>
          <w:rFonts w:ascii="arial" w:eastAsia="arial" w:hAnsi="arial" w:cs="arial"/>
          <w:b w:val="0"/>
          <w:i w:val="0"/>
          <w:strike w:val="0"/>
          <w:noProof w:val="0"/>
          <w:color w:val="000000"/>
          <w:position w:val="0"/>
          <w:sz w:val="18"/>
          <w:u w:val="none"/>
          <w:vertAlign w:val="baseline"/>
        </w:rPr>
        <w:t xml:space="preserve">; </w:t>
      </w:r>
      <w:hyperlink r:id="rId280" w:history="1">
        <w:r>
          <w:rPr>
            <w:rFonts w:ascii="arial" w:eastAsia="arial" w:hAnsi="arial" w:cs="arial"/>
            <w:b w:val="0"/>
            <w:i/>
            <w:strike w:val="0"/>
            <w:noProof w:val="0"/>
            <w:color w:val="0077CC"/>
            <w:position w:val="0"/>
            <w:sz w:val="18"/>
            <w:u w:val="single"/>
            <w:shd w:val="clear" w:color="auto" w:fill="FFFFFF"/>
            <w:vertAlign w:val="baseline"/>
          </w:rPr>
          <w:t>Diallo v. Holmes, 288 F. Supp. 2d 442 (S.D.N.Y. 2003)</w:t>
        </w:r>
      </w:hyperlink>
      <w:r>
        <w:rPr>
          <w:rFonts w:ascii="arial" w:eastAsia="arial" w:hAnsi="arial" w:cs="arial"/>
          <w:b w:val="0"/>
          <w:i w:val="0"/>
          <w:strike w:val="0"/>
          <w:noProof w:val="0"/>
          <w:color w:val="000000"/>
          <w:position w:val="0"/>
          <w:sz w:val="18"/>
          <w:u w:val="none"/>
          <w:vertAlign w:val="baseline"/>
        </w:rPr>
        <w:t xml:space="preserve">; </w:t>
      </w:r>
      <w:hyperlink r:id="rId313" w:history="1">
        <w:r>
          <w:rPr>
            <w:rFonts w:ascii="arial" w:eastAsia="arial" w:hAnsi="arial" w:cs="arial"/>
            <w:b w:val="0"/>
            <w:i/>
            <w:strike w:val="0"/>
            <w:noProof w:val="0"/>
            <w:color w:val="0077CC"/>
            <w:position w:val="0"/>
            <w:sz w:val="18"/>
            <w:u w:val="single"/>
            <w:shd w:val="clear" w:color="auto" w:fill="FFFFFF"/>
            <w:vertAlign w:val="baseline"/>
          </w:rPr>
          <w:t>Andrade v. Ashcroft, 270 F. Supp. 2d 344, 345 (E.D.N.Y. 2003)</w:t>
        </w:r>
      </w:hyperlink>
      <w:r>
        <w:rPr>
          <w:rFonts w:ascii="arial" w:eastAsia="arial" w:hAnsi="arial" w:cs="arial"/>
          <w:b w:val="0"/>
          <w:i w:val="0"/>
          <w:strike w:val="0"/>
          <w:noProof w:val="0"/>
          <w:color w:val="000000"/>
          <w:position w:val="0"/>
          <w:sz w:val="18"/>
          <w:u w:val="none"/>
          <w:vertAlign w:val="baseline"/>
        </w:rPr>
        <w:t xml:space="preserve"> (no basis for venue in New York where the events that gave rise to the removal order and claims occurred in Massachusetts or Louisiana).</w:t>
      </w:r>
    </w:p>
  </w:footnote>
  <w:footnote w:id="20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207 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314" w:history="1">
        <w:r>
          <w:rPr>
            <w:rFonts w:ascii="arial" w:eastAsia="arial" w:hAnsi="arial" w:cs="arial"/>
            <w:b w:val="0"/>
            <w:i/>
            <w:strike w:val="0"/>
            <w:noProof w:val="0"/>
            <w:color w:val="0077CC"/>
            <w:position w:val="0"/>
            <w:sz w:val="18"/>
            <w:u w:val="single"/>
            <w:shd w:val="clear" w:color="auto" w:fill="FFFFFF"/>
            <w:vertAlign w:val="baseline"/>
          </w:rPr>
          <w:t>Ruiz v. Mukasey, 552 F.3d 269 (2d Cir. 2009)</w:t>
        </w:r>
      </w:hyperlink>
      <w:r>
        <w:rPr>
          <w:rFonts w:ascii="arial" w:eastAsia="arial" w:hAnsi="arial" w:cs="arial"/>
          <w:b w:val="0"/>
          <w:i w:val="0"/>
          <w:strike w:val="0"/>
          <w:noProof w:val="0"/>
          <w:color w:val="000000"/>
          <w:position w:val="0"/>
          <w:sz w:val="18"/>
          <w:u w:val="none"/>
          <w:vertAlign w:val="baseline"/>
        </w:rPr>
        <w:t xml:space="preserve"> (review of I-130 denial transferred from circuit to district court); </w:t>
      </w:r>
      <w:hyperlink r:id="rId315" w:history="1">
        <w:r>
          <w:rPr>
            <w:rFonts w:ascii="arial" w:eastAsia="arial" w:hAnsi="arial" w:cs="arial"/>
            <w:b w:val="0"/>
            <w:i/>
            <w:strike w:val="0"/>
            <w:noProof w:val="0"/>
            <w:color w:val="0077CC"/>
            <w:position w:val="0"/>
            <w:sz w:val="18"/>
            <w:u w:val="single"/>
            <w:shd w:val="clear" w:color="auto" w:fill="FFFFFF"/>
            <w:vertAlign w:val="baseline"/>
          </w:rPr>
          <w:t>Salazar-Regino v. Gonzales, 415 F.3d 436 (5th Cir. 2005)</w:t>
        </w:r>
      </w:hyperlink>
      <w:r>
        <w:rPr>
          <w:rFonts w:ascii="arial" w:eastAsia="arial" w:hAnsi="arial" w:cs="arial"/>
          <w:b w:val="0"/>
          <w:i w:val="0"/>
          <w:strike w:val="0"/>
          <w:noProof w:val="0"/>
          <w:color w:val="000000"/>
          <w:position w:val="0"/>
          <w:sz w:val="18"/>
          <w:u w:val="none"/>
          <w:vertAlign w:val="baseline"/>
        </w:rPr>
        <w:t xml:space="preserve"> (circuit court waived failure to file challenge to conviction and transferred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to itself); </w:t>
      </w:r>
      <w:hyperlink r:id="rId316" w:history="1">
        <w:r>
          <w:rPr>
            <w:rFonts w:ascii="arial" w:eastAsia="arial" w:hAnsi="arial" w:cs="arial"/>
            <w:b w:val="0"/>
            <w:i/>
            <w:strike w:val="0"/>
            <w:noProof w:val="0"/>
            <w:color w:val="0077CC"/>
            <w:position w:val="0"/>
            <w:sz w:val="18"/>
            <w:u w:val="single"/>
            <w:shd w:val="clear" w:color="auto" w:fill="FFFFFF"/>
            <w:vertAlign w:val="baseline"/>
          </w:rPr>
          <w:t>Dragenice v. Ridge, 389 F.3d 92 (4th Cir. 2004)</w:t>
        </w:r>
      </w:hyperlink>
      <w:r>
        <w:rPr>
          <w:rFonts w:ascii="arial" w:eastAsia="arial" w:hAnsi="arial" w:cs="arial"/>
          <w:b w:val="0"/>
          <w:i w:val="0"/>
          <w:strike w:val="0"/>
          <w:noProof w:val="0"/>
          <w:color w:val="000000"/>
          <w:position w:val="0"/>
          <w:sz w:val="18"/>
          <w:u w:val="none"/>
          <w:vertAlign w:val="baseline"/>
        </w:rPr>
        <w:t xml:space="preserve"> (circuit court transferred case to district court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challenge to detention based on citizenship claim); </w:t>
      </w:r>
      <w:hyperlink r:id="rId317" w:history="1">
        <w:r>
          <w:rPr>
            <w:rFonts w:ascii="arial" w:eastAsia="arial" w:hAnsi="arial" w:cs="arial"/>
            <w:b w:val="0"/>
            <w:i/>
            <w:strike w:val="0"/>
            <w:noProof w:val="0"/>
            <w:color w:val="0077CC"/>
            <w:position w:val="0"/>
            <w:sz w:val="18"/>
            <w:u w:val="single"/>
            <w:shd w:val="clear" w:color="auto" w:fill="FFFFFF"/>
            <w:vertAlign w:val="baseline"/>
          </w:rPr>
          <w:t>Yanez-Gardia v. Ashcroft, 388 F.3d 280 (7th Cir. 2004)</w:t>
        </w:r>
      </w:hyperlink>
      <w:r>
        <w:rPr>
          <w:rFonts w:ascii="arial" w:eastAsia="arial" w:hAnsi="arial" w:cs="arial"/>
          <w:b w:val="0"/>
          <w:i w:val="0"/>
          <w:strike w:val="0"/>
          <w:noProof w:val="0"/>
          <w:color w:val="000000"/>
          <w:position w:val="0"/>
          <w:sz w:val="18"/>
          <w:u w:val="none"/>
          <w:vertAlign w:val="baseline"/>
        </w:rPr>
        <w:t xml:space="preserve"> (circuit court transferred case barred from review by statute to district court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review).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318" w:history="1">
        <w:r>
          <w:rPr>
            <w:rFonts w:ascii="arial" w:eastAsia="arial" w:hAnsi="arial" w:cs="arial"/>
            <w:b w:val="0"/>
            <w:i/>
            <w:strike w:val="0"/>
            <w:noProof w:val="0"/>
            <w:color w:val="0077CC"/>
            <w:position w:val="0"/>
            <w:sz w:val="18"/>
            <w:u w:val="single"/>
            <w:shd w:val="clear" w:color="auto" w:fill="FFFFFF"/>
            <w:vertAlign w:val="baseline"/>
          </w:rPr>
          <w:t>Puri v. Gonzales, 464 F.3d 1038 (9th Cir. 2006)</w:t>
        </w:r>
      </w:hyperlink>
      <w:r>
        <w:rPr>
          <w:rFonts w:ascii="arial" w:eastAsia="arial" w:hAnsi="arial" w:cs="arial"/>
          <w:b w:val="0"/>
          <w:i w:val="0"/>
          <w:strike w:val="0"/>
          <w:noProof w:val="0"/>
          <w:color w:val="000000"/>
          <w:position w:val="0"/>
          <w:sz w:val="18"/>
          <w:u w:val="none"/>
          <w:vertAlign w:val="baseline"/>
        </w:rPr>
        <w:t xml:space="preserve"> (no transfer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that was improperly filed to avoid prior order of dismissal).</w:t>
      </w:r>
    </w:p>
  </w:footnote>
  <w:footnote w:id="20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208 </w:t>
      </w:r>
      <w:hyperlink r:id="rId319" w:history="1">
        <w:r>
          <w:rPr>
            <w:rFonts w:ascii="arial" w:eastAsia="arial" w:hAnsi="arial" w:cs="arial"/>
            <w:b w:val="0"/>
            <w:i/>
            <w:strike w:val="0"/>
            <w:noProof w:val="0"/>
            <w:color w:val="0077CC"/>
            <w:position w:val="0"/>
            <w:sz w:val="18"/>
            <w:u w:val="single"/>
            <w:shd w:val="clear" w:color="auto" w:fill="FFFFFF"/>
            <w:vertAlign w:val="baseline"/>
          </w:rPr>
          <w:t>Sayyah v. Farquharson, 382 F.3d 20, 26 (1st Cir. 2004)</w:t>
        </w:r>
      </w:hyperlink>
      <w:r>
        <w:rPr>
          <w:rFonts w:ascii="arial" w:eastAsia="arial" w:hAnsi="arial" w:cs="arial"/>
          <w:b w:val="0"/>
          <w:i w:val="0"/>
          <w:strike w:val="0"/>
          <w:noProof w:val="0"/>
          <w:color w:val="000000"/>
          <w:position w:val="0"/>
          <w:sz w:val="18"/>
          <w:u w:val="none"/>
          <w:vertAlign w:val="baseline"/>
        </w:rPr>
        <w:t xml:space="preserve"> (“Accordingly we hold that section 1252(d)’s exhaustion requirement applies broadly to all forms of court review of final orders of removal, including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20" w:history="1">
        <w:r>
          <w:rPr>
            <w:rFonts w:ascii="arial" w:eastAsia="arial" w:hAnsi="arial" w:cs="arial"/>
            <w:b w:val="0"/>
            <w:i/>
            <w:strike w:val="0"/>
            <w:noProof w:val="0"/>
            <w:color w:val="0077CC"/>
            <w:position w:val="0"/>
            <w:sz w:val="18"/>
            <w:u w:val="single"/>
            <w:shd w:val="clear" w:color="auto" w:fill="FFFFFF"/>
            <w:vertAlign w:val="baseline"/>
          </w:rPr>
          <w:t>Laing v. Ashcroft, 370 F.3d 994 (9th Cir. 2004)</w:t>
        </w:r>
      </w:hyperlink>
      <w:r>
        <w:rPr>
          <w:rFonts w:ascii="arial" w:eastAsia="arial" w:hAnsi="arial" w:cs="arial"/>
          <w:b w:val="0"/>
          <w:i w:val="0"/>
          <w:strike w:val="0"/>
          <w:noProof w:val="0"/>
          <w:color w:val="000000"/>
          <w:position w:val="0"/>
          <w:sz w:val="18"/>
          <w:u w:val="none"/>
          <w:vertAlign w:val="baseline"/>
        </w:rPr>
        <w:t xml:space="preserve">; </w:t>
      </w:r>
      <w:hyperlink r:id="rId321" w:history="1">
        <w:r>
          <w:rPr>
            <w:rFonts w:ascii="arial" w:eastAsia="arial" w:hAnsi="arial" w:cs="arial"/>
            <w:b w:val="0"/>
            <w:i/>
            <w:strike w:val="0"/>
            <w:noProof w:val="0"/>
            <w:color w:val="0077CC"/>
            <w:position w:val="0"/>
            <w:sz w:val="18"/>
            <w:u w:val="single"/>
            <w:shd w:val="clear" w:color="auto" w:fill="FFFFFF"/>
            <w:vertAlign w:val="baseline"/>
          </w:rPr>
          <w:t>Theodoropoulos v. INS, 358 F.3d 162 (2d Cir. 2002)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cert. denied</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543 U.S. 823 (2004)</w:t>
      </w:r>
      <w:r>
        <w:rPr>
          <w:rFonts w:ascii="arial" w:eastAsia="arial" w:hAnsi="arial" w:cs="arial"/>
          <w:b w:val="0"/>
          <w:i w:val="0"/>
          <w:strike w:val="0"/>
          <w:noProof w:val="0"/>
          <w:color w:val="000000"/>
          <w:position w:val="0"/>
          <w:sz w:val="18"/>
          <w:u w:val="none"/>
          <w:vertAlign w:val="baseline"/>
        </w:rPr>
        <w:t xml:space="preserve">; </w:t>
      </w:r>
      <w:hyperlink r:id="rId322" w:history="1">
        <w:r>
          <w:rPr>
            <w:rFonts w:ascii="arial" w:eastAsia="arial" w:hAnsi="arial" w:cs="arial"/>
            <w:b w:val="0"/>
            <w:i/>
            <w:strike w:val="0"/>
            <w:noProof w:val="0"/>
            <w:color w:val="0077CC"/>
            <w:position w:val="0"/>
            <w:sz w:val="18"/>
            <w:u w:val="single"/>
            <w:shd w:val="clear" w:color="auto" w:fill="FFFFFF"/>
            <w:vertAlign w:val="baseline"/>
          </w:rPr>
          <w:t>Duvall v. Elwood, 336 F.3d 228 (3d Cir. 2003)</w:t>
        </w:r>
      </w:hyperlink>
      <w:r>
        <w:rPr>
          <w:rFonts w:ascii="arial" w:eastAsia="arial" w:hAnsi="arial" w:cs="arial"/>
          <w:b w:val="0"/>
          <w:i w:val="0"/>
          <w:strike w:val="0"/>
          <w:noProof w:val="0"/>
          <w:color w:val="000000"/>
          <w:position w:val="0"/>
          <w:sz w:val="18"/>
          <w:u w:val="none"/>
          <w:vertAlign w:val="baseline"/>
        </w:rPr>
        <w:t>.</w:t>
      </w:r>
    </w:p>
  </w:footnote>
  <w:footnote w:id="20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209 </w:t>
      </w:r>
      <w:hyperlink r:id="rId295" w:history="1">
        <w:r>
          <w:rPr>
            <w:rFonts w:ascii="arial" w:eastAsia="arial" w:hAnsi="arial" w:cs="arial"/>
            <w:b w:val="0"/>
            <w:i/>
            <w:strike w:val="0"/>
            <w:noProof w:val="0"/>
            <w:color w:val="0077CC"/>
            <w:position w:val="0"/>
            <w:sz w:val="18"/>
            <w:u w:val="single"/>
            <w:shd w:val="clear" w:color="auto" w:fill="FFFFFF"/>
            <w:vertAlign w:val="baseline"/>
          </w:rPr>
          <w:t>Duy Tho Hy v. Gillen, 588 F. Supp. 2d 122 (D. Mass. 2008)</w:t>
        </w:r>
      </w:hyperlink>
      <w:r>
        <w:rPr>
          <w:rFonts w:ascii="arial" w:eastAsia="arial" w:hAnsi="arial" w:cs="arial"/>
          <w:b w:val="0"/>
          <w:i w:val="0"/>
          <w:strike w:val="0"/>
          <w:noProof w:val="0"/>
          <w:color w:val="000000"/>
          <w:position w:val="0"/>
          <w:sz w:val="18"/>
          <w:u w:val="none"/>
          <w:vertAlign w:val="baseline"/>
        </w:rPr>
        <w:t xml:space="preserve"> (exhaustion not required in challenge to bond determination); </w:t>
      </w:r>
      <w:hyperlink r:id="rId323" w:history="1">
        <w:r>
          <w:rPr>
            <w:rFonts w:ascii="arial" w:eastAsia="arial" w:hAnsi="arial" w:cs="arial"/>
            <w:b w:val="0"/>
            <w:i/>
            <w:strike w:val="0"/>
            <w:noProof w:val="0"/>
            <w:color w:val="0077CC"/>
            <w:position w:val="0"/>
            <w:sz w:val="18"/>
            <w:u w:val="single"/>
            <w:shd w:val="clear" w:color="auto" w:fill="FFFFFF"/>
            <w:vertAlign w:val="baseline"/>
          </w:rPr>
          <w:t>Pequeno-Martinez v. Tominski, 281 F. Supp. 2d 902 (S.D. Tex. 2003)</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INA § 242(d)(1)</w:t>
        </w:r>
      </w:hyperlink>
      <w:r>
        <w:rPr>
          <w:rFonts w:ascii="arial" w:eastAsia="arial" w:hAnsi="arial" w:cs="arial"/>
          <w:b w:val="0"/>
          <w:i w:val="0"/>
          <w:strike w:val="0"/>
          <w:noProof w:val="0"/>
          <w:color w:val="000000"/>
          <w:position w:val="0"/>
          <w:sz w:val="18"/>
          <w:u w:val="none"/>
          <w:vertAlign w:val="baseline"/>
        </w:rPr>
        <w:t xml:space="preserve"> does not require exhaustion of petition for review in circuit court); </w:t>
      </w:r>
      <w:hyperlink r:id="rId324" w:history="1">
        <w:r>
          <w:rPr>
            <w:rFonts w:ascii="arial" w:eastAsia="arial" w:hAnsi="arial" w:cs="arial"/>
            <w:b w:val="0"/>
            <w:i/>
            <w:strike w:val="0"/>
            <w:noProof w:val="0"/>
            <w:color w:val="0077CC"/>
            <w:position w:val="0"/>
            <w:sz w:val="18"/>
            <w:u w:val="single"/>
            <w:shd w:val="clear" w:color="auto" w:fill="FFFFFF"/>
            <w:vertAlign w:val="baseline"/>
          </w:rPr>
          <w:t>Jankowski v. INS, 138 F. Supp. 2d 269 (D. Conn. 2001)</w:t>
        </w:r>
      </w:hyperlink>
      <w:r>
        <w:rPr>
          <w:rFonts w:ascii="arial" w:eastAsia="arial" w:hAnsi="arial" w:cs="arial"/>
          <w:b w:val="0"/>
          <w:i w:val="0"/>
          <w:strike w:val="0"/>
          <w:noProof w:val="0"/>
          <w:color w:val="000000"/>
          <w:position w:val="0"/>
          <w:sz w:val="18"/>
          <w:u w:val="none"/>
          <w:vertAlign w:val="baseline"/>
        </w:rPr>
        <w:t xml:space="preserve"> (exhaustion under </w:t>
      </w:r>
      <w:hyperlink r:id="rId71" w:history="1">
        <w:r>
          <w:rPr>
            <w:rFonts w:ascii="arial" w:eastAsia="arial" w:hAnsi="arial" w:cs="arial"/>
            <w:b w:val="0"/>
            <w:i/>
            <w:strike w:val="0"/>
            <w:noProof w:val="0"/>
            <w:color w:val="0077CC"/>
            <w:position w:val="0"/>
            <w:sz w:val="18"/>
            <w:u w:val="single"/>
            <w:shd w:val="clear" w:color="auto" w:fill="FFFFFF"/>
            <w:vertAlign w:val="baseline"/>
          </w:rPr>
          <w:t>INA § 242(d)</w:t>
        </w:r>
      </w:hyperlink>
      <w:r>
        <w:rPr>
          <w:rFonts w:ascii="arial" w:eastAsia="arial" w:hAnsi="arial" w:cs="arial"/>
          <w:b w:val="0"/>
          <w:i w:val="0"/>
          <w:strike w:val="0"/>
          <w:noProof w:val="0"/>
          <w:color w:val="000000"/>
          <w:position w:val="0"/>
          <w:sz w:val="18"/>
          <w:u w:val="none"/>
          <w:vertAlign w:val="baseline"/>
        </w:rPr>
        <w:t xml:space="preserve"> not required for constitutional issues in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rev’d on other grounds</w:t>
      </w:r>
      <w:r>
        <w:rPr>
          <w:rFonts w:ascii="arial" w:eastAsia="arial" w:hAnsi="arial" w:cs="arial"/>
          <w:b w:val="0"/>
          <w:i w:val="0"/>
          <w:strike w:val="0"/>
          <w:noProof w:val="0"/>
          <w:color w:val="000000"/>
          <w:position w:val="0"/>
          <w:sz w:val="18"/>
          <w:u w:val="none"/>
          <w:vertAlign w:val="baseline"/>
        </w:rPr>
        <w:t xml:space="preserve">, </w:t>
      </w:r>
      <w:hyperlink r:id="rId325" w:history="1">
        <w:r>
          <w:rPr>
            <w:rFonts w:ascii="arial" w:eastAsia="arial" w:hAnsi="arial" w:cs="arial"/>
            <w:b w:val="0"/>
            <w:i/>
            <w:strike w:val="0"/>
            <w:noProof w:val="0"/>
            <w:color w:val="0077CC"/>
            <w:position w:val="0"/>
            <w:sz w:val="18"/>
            <w:u w:val="single"/>
            <w:shd w:val="clear" w:color="auto" w:fill="FFFFFF"/>
            <w:vertAlign w:val="baseline"/>
          </w:rPr>
          <w:t>291 F.3d 172 (2d Cir. 2002)</w:t>
        </w:r>
      </w:hyperlink>
      <w:r>
        <w:rPr>
          <w:rFonts w:ascii="arial" w:eastAsia="arial" w:hAnsi="arial" w:cs="arial"/>
          <w:b w:val="0"/>
          <w:i w:val="0"/>
          <w:strike w:val="0"/>
          <w:noProof w:val="0"/>
          <w:color w:val="000000"/>
          <w:position w:val="0"/>
          <w:sz w:val="18"/>
          <w:u w:val="none"/>
          <w:vertAlign w:val="baseline"/>
        </w:rPr>
        <w:t>.</w:t>
      </w:r>
    </w:p>
  </w:footnote>
  <w:footnote w:id="2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210 </w:t>
      </w:r>
      <w:hyperlink r:id="rId179" w:history="1">
        <w:r>
          <w:rPr>
            <w:rFonts w:ascii="arial" w:eastAsia="arial" w:hAnsi="arial" w:cs="arial"/>
            <w:b w:val="0"/>
            <w:i/>
            <w:strike w:val="0"/>
            <w:noProof w:val="0"/>
            <w:color w:val="0077CC"/>
            <w:position w:val="0"/>
            <w:sz w:val="18"/>
            <w:u w:val="single"/>
            <w:shd w:val="clear" w:color="auto" w:fill="FFFFFF"/>
            <w:vertAlign w:val="baseline"/>
          </w:rPr>
          <w:t>Singh v. Holder, 638 F.3d 1196, 1203 n.3 (9th Cir. 2011)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accord</w:t>
      </w:r>
      <w:r>
        <w:rPr>
          <w:rFonts w:ascii="arial" w:eastAsia="arial" w:hAnsi="arial" w:cs="arial"/>
          <w:b w:val="0"/>
          <w:i w:val="0"/>
          <w:strike w:val="0"/>
          <w:noProof w:val="0"/>
          <w:color w:val="000000"/>
          <w:position w:val="0"/>
          <w:sz w:val="18"/>
          <w:u w:val="none"/>
          <w:vertAlign w:val="baseline"/>
        </w:rPr>
        <w:t xml:space="preserve"> </w:t>
      </w:r>
      <w:hyperlink r:id="rId326" w:history="1">
        <w:r>
          <w:rPr>
            <w:rFonts w:ascii="arial" w:eastAsia="arial" w:hAnsi="arial" w:cs="arial"/>
            <w:b w:val="0"/>
            <w:i/>
            <w:strike w:val="0"/>
            <w:noProof w:val="0"/>
            <w:color w:val="0077CC"/>
            <w:position w:val="0"/>
            <w:sz w:val="18"/>
            <w:u w:val="single"/>
            <w:shd w:val="clear" w:color="auto" w:fill="FFFFFF"/>
            <w:vertAlign w:val="baseline"/>
          </w:rPr>
          <w:t>Alvarado v. Holder, 759 F.3d 1121, 1128 (9th Cir. 2014)</w:t>
        </w:r>
      </w:hyperlink>
      <w:r>
        <w:rPr>
          <w:rFonts w:ascii="arial" w:eastAsia="arial" w:hAnsi="arial" w:cs="arial"/>
          <w:b w:val="0"/>
          <w:i w:val="0"/>
          <w:strike w:val="0"/>
          <w:noProof w:val="0"/>
          <w:color w:val="000000"/>
          <w:position w:val="0"/>
          <w:sz w:val="18"/>
          <w:u w:val="none"/>
          <w:vertAlign w:val="baseline"/>
        </w:rPr>
        <w:t xml:space="preserve">; </w:t>
      </w:r>
      <w:hyperlink r:id="rId327" w:history="1">
        <w:r>
          <w:rPr>
            <w:rFonts w:ascii="arial" w:eastAsia="arial" w:hAnsi="arial" w:cs="arial"/>
            <w:b w:val="0"/>
            <w:i/>
            <w:strike w:val="0"/>
            <w:noProof w:val="0"/>
            <w:color w:val="0077CC"/>
            <w:position w:val="0"/>
            <w:sz w:val="18"/>
            <w:u w:val="single"/>
            <w:shd w:val="clear" w:color="auto" w:fill="FFFFFF"/>
            <w:vertAlign w:val="baseline"/>
          </w:rPr>
          <w:t>Rivera v. Holder, 307 F.R.D. 539, 551 (W.D. Wash. 2015)</w:t>
        </w:r>
      </w:hyperlink>
      <w:r>
        <w:rPr>
          <w:rFonts w:ascii="arial" w:eastAsia="arial" w:hAnsi="arial" w:cs="arial"/>
          <w:b w:val="0"/>
          <w:i w:val="0"/>
          <w:strike w:val="0"/>
          <w:noProof w:val="0"/>
          <w:color w:val="000000"/>
          <w:position w:val="0"/>
          <w:sz w:val="18"/>
          <w:u w:val="none"/>
          <w:vertAlign w:val="baseline"/>
        </w:rPr>
        <w:t xml:space="preserve">; </w:t>
      </w:r>
      <w:hyperlink r:id="rId328" w:history="1">
        <w:r>
          <w:rPr>
            <w:rFonts w:ascii="arial" w:eastAsia="arial" w:hAnsi="arial" w:cs="arial"/>
            <w:b w:val="0"/>
            <w:i/>
            <w:strike w:val="0"/>
            <w:noProof w:val="0"/>
            <w:color w:val="0077CC"/>
            <w:position w:val="0"/>
            <w:sz w:val="18"/>
            <w:u w:val="single"/>
            <w:shd w:val="clear" w:color="auto" w:fill="FFFFFF"/>
            <w:vertAlign w:val="baseline"/>
          </w:rPr>
          <w:t>Harris v. DHS., 18 F. Supp. 3d 1349, 1355–56 (S.D. Fla. 2014)</w:t>
        </w:r>
      </w:hyperlink>
      <w:r>
        <w:rPr>
          <w:rFonts w:ascii="arial" w:eastAsia="arial" w:hAnsi="arial" w:cs="arial"/>
          <w:b w:val="0"/>
          <w:i w:val="0"/>
          <w:strike w:val="0"/>
          <w:noProof w:val="0"/>
          <w:color w:val="000000"/>
          <w:position w:val="0"/>
          <w:sz w:val="18"/>
          <w:u w:val="none"/>
          <w:vertAlign w:val="baseline"/>
        </w:rPr>
        <w:t>.</w:t>
      </w:r>
    </w:p>
  </w:footnote>
  <w:footnote w:id="21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211 </w:t>
      </w:r>
      <w:hyperlink r:id="rId179" w:history="1">
        <w:r>
          <w:rPr>
            <w:rFonts w:ascii="arial" w:eastAsia="arial" w:hAnsi="arial" w:cs="arial"/>
            <w:b w:val="0"/>
            <w:i/>
            <w:strike w:val="0"/>
            <w:noProof w:val="0"/>
            <w:color w:val="0077CC"/>
            <w:position w:val="0"/>
            <w:sz w:val="18"/>
            <w:u w:val="single"/>
            <w:shd w:val="clear" w:color="auto" w:fill="FFFFFF"/>
            <w:vertAlign w:val="baseline"/>
          </w:rPr>
          <w:t>Singh</w:t>
        </w:r>
      </w:hyperlink>
      <w:hyperlink r:id="rId179" w:history="1">
        <w:r>
          <w:rPr>
            <w:rFonts w:ascii="arial" w:eastAsia="arial" w:hAnsi="arial" w:cs="arial"/>
            <w:b w:val="0"/>
            <w:i/>
            <w:strike w:val="0"/>
            <w:noProof w:val="0"/>
            <w:color w:val="0077CC"/>
            <w:position w:val="0"/>
            <w:sz w:val="18"/>
            <w:u w:val="single"/>
            <w:shd w:val="clear" w:color="auto" w:fill="FFFFFF"/>
            <w:vertAlign w:val="baseline"/>
          </w:rPr>
          <w:t>, 638 F.3d at 1203</w:t>
        </w:r>
      </w:hyperlink>
      <w:r>
        <w:rPr>
          <w:rFonts w:ascii="arial" w:eastAsia="arial" w:hAnsi="arial" w:cs="arial"/>
          <w:b w:val="0"/>
          <w:i w:val="0"/>
          <w:strike w:val="0"/>
          <w:noProof w:val="0"/>
          <w:color w:val="000000"/>
          <w:position w:val="0"/>
          <w:sz w:val="18"/>
          <w:u w:val="none"/>
          <w:vertAlign w:val="baseline"/>
        </w:rPr>
        <w:t xml:space="preserve"> (“We exercise our discretion to waive the requirement and reach the issue. First, a record of administrative appeal is not germane to the purely legal question of what standard is most appropriate for such hearings. Second, relaxation of the requirement in this case will not encourage future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petitioners to attempt to bypass the administrative scheme because, once the standard has been set, this issue should cease to arise. Third, administrative review would not preclude the need for judicial review, because litigants would undoubtedly seek this court’s determination of whether whatever standard the agency set was correct. … Given these circumstances, and given that Singh has already been detained for nearly four years, we conclude that the interests of justice favor waiver.”) (citation omitted).</w:t>
      </w:r>
    </w:p>
  </w:footnote>
  <w:footnote w:id="2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212 </w:t>
      </w:r>
      <w:hyperlink r:id="rId329" w:history="1">
        <w:r>
          <w:rPr>
            <w:rFonts w:ascii="arial" w:eastAsia="arial" w:hAnsi="arial" w:cs="arial"/>
            <w:b w:val="0"/>
            <w:i/>
            <w:strike w:val="0"/>
            <w:noProof w:val="0"/>
            <w:color w:val="0077CC"/>
            <w:position w:val="0"/>
            <w:sz w:val="18"/>
            <w:u w:val="single"/>
            <w:shd w:val="clear" w:color="auto" w:fill="FFFFFF"/>
            <w:vertAlign w:val="baseline"/>
          </w:rPr>
          <w:t>Latu v. Ashcroft, 375 F.3d 1012 (10th Cir. 2004)</w:t>
        </w:r>
      </w:hyperlink>
      <w:r>
        <w:rPr>
          <w:rFonts w:ascii="arial" w:eastAsia="arial" w:hAnsi="arial" w:cs="arial"/>
          <w:b w:val="0"/>
          <w:i w:val="0"/>
          <w:strike w:val="0"/>
          <w:noProof w:val="0"/>
          <w:color w:val="000000"/>
          <w:position w:val="0"/>
          <w:sz w:val="18"/>
          <w:u w:val="none"/>
          <w:vertAlign w:val="baseline"/>
        </w:rPr>
        <w:t>.</w:t>
      </w:r>
    </w:p>
  </w:footnote>
  <w:footnote w:id="2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213 </w:t>
      </w:r>
      <w:hyperlink r:id="rId330" w:history="1">
        <w:r>
          <w:rPr>
            <w:rFonts w:ascii="arial" w:eastAsia="arial" w:hAnsi="arial" w:cs="arial"/>
            <w:b w:val="0"/>
            <w:i/>
            <w:strike w:val="0"/>
            <w:noProof w:val="0"/>
            <w:color w:val="0077CC"/>
            <w:position w:val="0"/>
            <w:sz w:val="18"/>
            <w:u w:val="single"/>
            <w:shd w:val="clear" w:color="auto" w:fill="FFFFFF"/>
            <w:vertAlign w:val="baseline"/>
          </w:rPr>
          <w:t>Spencer v. Kemna, 523 U.S. 1, 7 (1998)</w:t>
        </w:r>
      </w:hyperlink>
      <w:r>
        <w:rPr>
          <w:rFonts w:ascii="arial" w:eastAsia="arial" w:hAnsi="arial" w:cs="arial"/>
          <w:b w:val="0"/>
          <w:i w:val="0"/>
          <w:strike w:val="0"/>
          <w:noProof w:val="0"/>
          <w:color w:val="000000"/>
          <w:position w:val="0"/>
          <w:sz w:val="18"/>
          <w:u w:val="none"/>
          <w:vertAlign w:val="baseline"/>
        </w:rPr>
        <w:t>.</w:t>
      </w:r>
    </w:p>
  </w:footnote>
  <w:footnote w:id="2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214 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(quoting </w:t>
      </w:r>
      <w:hyperlink r:id="rId331" w:history="1">
        <w:r>
          <w:rPr>
            <w:rFonts w:ascii="arial" w:eastAsia="arial" w:hAnsi="arial" w:cs="arial"/>
            <w:b w:val="0"/>
            <w:i/>
            <w:strike w:val="0"/>
            <w:noProof w:val="0"/>
            <w:color w:val="0077CC"/>
            <w:position w:val="0"/>
            <w:sz w:val="18"/>
            <w:u w:val="single"/>
            <w:shd w:val="clear" w:color="auto" w:fill="FFFFFF"/>
            <w:vertAlign w:val="baseline"/>
          </w:rPr>
          <w:t>Lewis v. Continental Bank Corp., 494 U.S. 472 (1990))</w:t>
        </w:r>
      </w:hyperlink>
      <w:r>
        <w:rPr>
          <w:rFonts w:ascii="arial" w:eastAsia="arial" w:hAnsi="arial" w:cs="arial"/>
          <w:b w:val="0"/>
          <w:i w:val="0"/>
          <w:strike w:val="0"/>
          <w:noProof w:val="0"/>
          <w:color w:val="000000"/>
          <w:position w:val="0"/>
          <w:sz w:val="18"/>
          <w:u w:val="none"/>
          <w:vertAlign w:val="baseline"/>
        </w:rPr>
        <w:t>.</w:t>
      </w:r>
    </w:p>
  </w:footnote>
  <w:footnote w:id="21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215 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w:t>
      </w:r>
    </w:p>
  </w:footnote>
  <w:footnote w:id="21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216 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(“some concrete and continuing injury other than the now-ended incarceration or parole—some ‘collateral consequence’ of the conviction—must exist if the suit is to be maintained”).</w:t>
      </w:r>
    </w:p>
  </w:footnote>
  <w:footnote w:id="2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217 </w:t>
      </w:r>
      <w:hyperlink r:id="rId332" w:history="1">
        <w:r>
          <w:rPr>
            <w:rFonts w:ascii="arial" w:eastAsia="arial" w:hAnsi="arial" w:cs="arial"/>
            <w:b w:val="0"/>
            <w:i/>
            <w:strike w:val="0"/>
            <w:noProof w:val="0"/>
            <w:color w:val="0077CC"/>
            <w:position w:val="0"/>
            <w:sz w:val="18"/>
            <w:u w:val="single"/>
            <w:shd w:val="clear" w:color="auto" w:fill="FFFFFF"/>
            <w:vertAlign w:val="baseline"/>
          </w:rPr>
          <w:t>Diop v. ICE/Homeland Security, 656 F.3d 221, 228 (3d Cir. 2011)</w:t>
        </w:r>
      </w:hyperlink>
      <w:r>
        <w:rPr>
          <w:rFonts w:ascii="arial" w:eastAsia="arial" w:hAnsi="arial" w:cs="arial"/>
          <w:b w:val="0"/>
          <w:i w:val="0"/>
          <w:strike w:val="0"/>
          <w:noProof w:val="0"/>
          <w:color w:val="000000"/>
          <w:position w:val="0"/>
          <w:sz w:val="18"/>
          <w:u w:val="none"/>
          <w:vertAlign w:val="baseline"/>
        </w:rPr>
        <w:t xml:space="preserve"> (It was “reasonable for [petitioner] to fear that he might once again be the subject of lengthy removal proceedings and pre-removal detention at any time. His appeal falls into an exception to the mootness rule.”).</w:t>
      </w:r>
    </w:p>
  </w:footnote>
  <w:footnote w:id="2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218 </w:t>
      </w:r>
      <w:r>
        <w:rPr>
          <w:rFonts w:ascii="arial" w:eastAsia="arial" w:hAnsi="arial" w:cs="arial"/>
          <w:b w:val="0"/>
          <w:i w:val="0"/>
          <w:strike w:val="0"/>
          <w:noProof w:val="0"/>
          <w:color w:val="000000"/>
          <w:position w:val="0"/>
          <w:sz w:val="18"/>
          <w:u w:val="none"/>
          <w:vertAlign w:val="baseline"/>
        </w:rPr>
        <w:t xml:space="preserve">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106(a)(10)</w:t>
        </w:r>
      </w:hyperlink>
      <w:r>
        <w:rPr>
          <w:rFonts w:ascii="arial" w:eastAsia="arial" w:hAnsi="arial" w:cs="arial"/>
          <w:b w:val="0"/>
          <w:i w:val="0"/>
          <w:strike w:val="0"/>
          <w:noProof w:val="0"/>
          <w:color w:val="000000"/>
          <w:position w:val="0"/>
          <w:sz w:val="18"/>
          <w:u w:val="none"/>
          <w:vertAlign w:val="baseline"/>
        </w:rPr>
        <w:t xml:space="preserve">, </w:t>
      </w:r>
      <w:hyperlink r:id="rId10" w:history="1">
        <w:r>
          <w:rPr>
            <w:rFonts w:ascii="arial" w:eastAsia="arial" w:hAnsi="arial" w:cs="arial"/>
            <w:b w:val="0"/>
            <w:i/>
            <w:strike w:val="0"/>
            <w:noProof w:val="0"/>
            <w:color w:val="0077CC"/>
            <w:position w:val="0"/>
            <w:sz w:val="18"/>
            <w:u w:val="single"/>
            <w:shd w:val="clear" w:color="auto" w:fill="FFFFFF"/>
            <w:vertAlign w:val="baseline"/>
          </w:rPr>
          <w:t>8 U.S.C. § 1105a(a)(10)</w:t>
        </w:r>
      </w:hyperlink>
      <w:r>
        <w:rPr>
          <w:rFonts w:ascii="arial" w:eastAsia="arial" w:hAnsi="arial" w:cs="arial"/>
          <w:b w:val="0"/>
          <w:i w:val="0"/>
          <w:strike w:val="0"/>
          <w:noProof w:val="0"/>
          <w:color w:val="000000"/>
          <w:position w:val="0"/>
          <w:sz w:val="18"/>
          <w:u w:val="none"/>
          <w:vertAlign w:val="baseline"/>
        </w:rPr>
        <w:t xml:space="preserve"> (repealed by AEDPA § 401(e)).</w:t>
      </w:r>
    </w:p>
  </w:footnote>
  <w:footnote w:id="2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219 </w:t>
      </w:r>
      <w:r>
        <w:rPr>
          <w:rFonts w:ascii="arial" w:eastAsia="arial" w:hAnsi="arial" w:cs="arial"/>
          <w:b w:val="0"/>
          <w:i w:val="0"/>
          <w:strike w:val="0"/>
          <w:noProof w:val="0"/>
          <w:color w:val="000000"/>
          <w:position w:val="0"/>
          <w:sz w:val="18"/>
          <w:u w:val="none"/>
          <w:vertAlign w:val="baseline"/>
        </w:rPr>
        <w:t xml:space="preserve">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106(c)</w:t>
        </w:r>
      </w:hyperlink>
      <w:r>
        <w:rPr>
          <w:rFonts w:ascii="arial" w:eastAsia="arial" w:hAnsi="arial" w:cs="arial"/>
          <w:b w:val="0"/>
          <w:i w:val="0"/>
          <w:strike w:val="0"/>
          <w:noProof w:val="0"/>
          <w:color w:val="000000"/>
          <w:position w:val="0"/>
          <w:sz w:val="18"/>
          <w:u w:val="none"/>
          <w:vertAlign w:val="baseline"/>
        </w:rPr>
        <w:t xml:space="preserve">, </w:t>
      </w:r>
      <w:hyperlink r:id="rId10" w:history="1">
        <w:r>
          <w:rPr>
            <w:rFonts w:ascii="arial" w:eastAsia="arial" w:hAnsi="arial" w:cs="arial"/>
            <w:b w:val="0"/>
            <w:i/>
            <w:strike w:val="0"/>
            <w:noProof w:val="0"/>
            <w:color w:val="0077CC"/>
            <w:position w:val="0"/>
            <w:sz w:val="18"/>
            <w:u w:val="single"/>
            <w:shd w:val="clear" w:color="auto" w:fill="FFFFFF"/>
            <w:vertAlign w:val="baseline"/>
          </w:rPr>
          <w:t>8 U.S.C. § 1105a(c)</w:t>
        </w:r>
      </w:hyperlink>
      <w:r>
        <w:rPr>
          <w:rFonts w:ascii="arial" w:eastAsia="arial" w:hAnsi="arial" w:cs="arial"/>
          <w:b w:val="0"/>
          <w:i w:val="0"/>
          <w:strike w:val="0"/>
          <w:noProof w:val="0"/>
          <w:color w:val="000000"/>
          <w:position w:val="0"/>
          <w:sz w:val="18"/>
          <w:u w:val="none"/>
          <w:vertAlign w:val="baseline"/>
        </w:rPr>
        <w:t xml:space="preserve"> (repealed by IIRAIRA § 306(b)).</w:t>
      </w:r>
    </w:p>
  </w:footnote>
  <w:footnote w:id="22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220 </w:t>
      </w:r>
      <w:hyperlink r:id="rId213" w:history="1">
        <w:r>
          <w:rPr>
            <w:rFonts w:ascii="arial" w:eastAsia="arial" w:hAnsi="arial" w:cs="arial"/>
            <w:b w:val="0"/>
            <w:i/>
            <w:strike w:val="0"/>
            <w:noProof w:val="0"/>
            <w:color w:val="0077CC"/>
            <w:position w:val="0"/>
            <w:sz w:val="18"/>
            <w:u w:val="single"/>
            <w:shd w:val="clear" w:color="auto" w:fill="FFFFFF"/>
            <w:vertAlign w:val="baseline"/>
          </w:rPr>
          <w:t>Umanzor v. Lambert, 782 F.2d 1299, 1301 (5th Cir. 1986)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reaffirmed in</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196 (5th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w:t>
      </w:r>
    </w:p>
  </w:footnote>
  <w:footnote w:id="2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221 </w:t>
      </w:r>
      <w:hyperlink r:id="rId333" w:history="1">
        <w:r>
          <w:rPr>
            <w:rFonts w:ascii="arial" w:eastAsia="arial" w:hAnsi="arial" w:cs="arial"/>
            <w:b w:val="0"/>
            <w:i/>
            <w:strike w:val="0"/>
            <w:noProof w:val="0"/>
            <w:color w:val="0077CC"/>
            <w:position w:val="0"/>
            <w:sz w:val="18"/>
            <w:u w:val="single"/>
            <w:shd w:val="clear" w:color="auto" w:fill="FFFFFF"/>
            <w:vertAlign w:val="baseline"/>
          </w:rPr>
          <w:t>Chavez v. U.S. INS, 55 F. Supp. 2d 555, 556 (W.D. La. 1999)</w:t>
        </w:r>
      </w:hyperlink>
      <w:r>
        <w:rPr>
          <w:rFonts w:ascii="arial" w:eastAsia="arial" w:hAnsi="arial" w:cs="arial"/>
          <w:b w:val="0"/>
          <w:i w:val="0"/>
          <w:strike w:val="0"/>
          <w:noProof w:val="0"/>
          <w:color w:val="000000"/>
          <w:position w:val="0"/>
          <w:sz w:val="18"/>
          <w:u w:val="none"/>
          <w:vertAlign w:val="baseline"/>
        </w:rPr>
        <w:t xml:space="preserve"> (noting that prior </w:t>
      </w:r>
      <w:hyperlink r:id="rId10" w:history="1">
        <w:r>
          <w:rPr>
            <w:rFonts w:ascii="arial" w:eastAsia="arial" w:hAnsi="arial" w:cs="arial"/>
            <w:b w:val="0"/>
            <w:i/>
            <w:strike w:val="0"/>
            <w:noProof w:val="0"/>
            <w:color w:val="0077CC"/>
            <w:position w:val="0"/>
            <w:sz w:val="18"/>
            <w:u w:val="single"/>
            <w:shd w:val="clear" w:color="auto" w:fill="FFFFFF"/>
            <w:vertAlign w:val="baseline"/>
          </w:rPr>
          <w:t>INA § 106(c)</w:t>
        </w:r>
      </w:hyperlink>
      <w:r>
        <w:rPr>
          <w:rFonts w:ascii="arial" w:eastAsia="arial" w:hAnsi="arial" w:cs="arial"/>
          <w:b w:val="0"/>
          <w:i w:val="0"/>
          <w:strike w:val="0"/>
          <w:noProof w:val="0"/>
          <w:color w:val="000000"/>
          <w:position w:val="0"/>
          <w:sz w:val="18"/>
          <w:u w:val="none"/>
          <w:vertAlign w:val="baseline"/>
        </w:rPr>
        <w:t xml:space="preserve"> had been repealed and could not form a basis to dismiss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for mootness);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34" w:history="1">
        <w:r>
          <w:rPr>
            <w:rFonts w:ascii="arial" w:eastAsia="arial" w:hAnsi="arial" w:cs="arial"/>
            <w:b w:val="0"/>
            <w:i/>
            <w:strike w:val="0"/>
            <w:noProof w:val="0"/>
            <w:color w:val="0077CC"/>
            <w:position w:val="0"/>
            <w:sz w:val="18"/>
            <w:u w:val="single"/>
            <w:shd w:val="clear" w:color="auto" w:fill="FFFFFF"/>
            <w:vertAlign w:val="baseline"/>
          </w:rPr>
          <w:t>Oyeniyi v. Estrada, 2002 U.S. Dist. LEXIS 17267, at *5 n.3 (N.D. Tex. Sept. 11, 2002)</w:t>
        </w:r>
      </w:hyperlink>
      <w:r>
        <w:rPr>
          <w:rFonts w:ascii="arial" w:eastAsia="arial" w:hAnsi="arial" w:cs="arial"/>
          <w:b w:val="0"/>
          <w:i w:val="0"/>
          <w:strike w:val="0"/>
          <w:noProof w:val="0"/>
          <w:color w:val="000000"/>
          <w:position w:val="0"/>
          <w:sz w:val="18"/>
          <w:u w:val="none"/>
          <w:vertAlign w:val="baseline"/>
        </w:rPr>
        <w:t>.</w:t>
      </w:r>
    </w:p>
  </w:footnote>
  <w:footnote w:id="22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222 </w:t>
      </w:r>
      <w:hyperlink r:id="rId260" w:history="1">
        <w:r>
          <w:rPr>
            <w:rFonts w:ascii="arial" w:eastAsia="arial" w:hAnsi="arial" w:cs="arial"/>
            <w:b w:val="0"/>
            <w:i/>
            <w:strike w:val="0"/>
            <w:noProof w:val="0"/>
            <w:color w:val="0077CC"/>
            <w:position w:val="0"/>
            <w:sz w:val="18"/>
            <w:u w:val="single"/>
            <w:shd w:val="clear" w:color="auto" w:fill="FFFFFF"/>
            <w:vertAlign w:val="baseline"/>
          </w:rPr>
          <w:t>Zalawadia v. Ashcroft, 371 F.3d 292 (5th Cir. 2004)</w:t>
        </w:r>
      </w:hyperlink>
      <w:r>
        <w:rPr>
          <w:rFonts w:ascii="arial" w:eastAsia="arial" w:hAnsi="arial" w:cs="arial"/>
          <w:b w:val="0"/>
          <w:i w:val="0"/>
          <w:strike w:val="0"/>
          <w:noProof w:val="0"/>
          <w:color w:val="000000"/>
          <w:position w:val="0"/>
          <w:sz w:val="18"/>
          <w:u w:val="none"/>
          <w:vertAlign w:val="baseline"/>
        </w:rPr>
        <w:t xml:space="preserve">; </w:t>
      </w:r>
      <w:hyperlink r:id="rId213" w:history="1">
        <w:r>
          <w:rPr>
            <w:rFonts w:ascii="arial" w:eastAsia="arial" w:hAnsi="arial" w:cs="arial"/>
            <w:b w:val="0"/>
            <w:i/>
            <w:strike w:val="0"/>
            <w:noProof w:val="0"/>
            <w:color w:val="0077CC"/>
            <w:position w:val="0"/>
            <w:sz w:val="18"/>
            <w:u w:val="single"/>
            <w:shd w:val="clear" w:color="auto" w:fill="FFFFFF"/>
            <w:vertAlign w:val="baseline"/>
          </w:rPr>
          <w:t>Umanzor v. Lambert, 782 F.2d 1299, 1301 (5th Cir. 1986)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reaffirmed in</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196 (5th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w:t>
      </w:r>
    </w:p>
  </w:footnote>
  <w:footnote w:id="22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223 </w:t>
      </w:r>
      <w:hyperlink r:id="rId335" w:history="1">
        <w:r>
          <w:rPr>
            <w:rFonts w:ascii="arial" w:eastAsia="arial" w:hAnsi="arial" w:cs="arial"/>
            <w:b w:val="0"/>
            <w:i/>
            <w:strike w:val="0"/>
            <w:noProof w:val="0"/>
            <w:color w:val="0077CC"/>
            <w:position w:val="0"/>
            <w:sz w:val="18"/>
            <w:u w:val="single"/>
            <w:shd w:val="clear" w:color="auto" w:fill="FFFFFF"/>
            <w:vertAlign w:val="baseline"/>
          </w:rPr>
          <w:t>Zegarra-Gomez v. INS, 314 F.3d 1124, 1127 (9th Cir. 2003)</w:t>
        </w:r>
      </w:hyperlink>
      <w:r>
        <w:rPr>
          <w:rFonts w:ascii="arial" w:eastAsia="arial" w:hAnsi="arial" w:cs="arial"/>
          <w:b w:val="0"/>
          <w:i w:val="0"/>
          <w:strike w:val="0"/>
          <w:noProof w:val="0"/>
          <w:color w:val="000000"/>
          <w:position w:val="0"/>
          <w:sz w:val="18"/>
          <w:u w:val="none"/>
          <w:vertAlign w:val="baseline"/>
        </w:rPr>
        <w:t xml:space="preserve"> (“the case or controversy requirement is satisfied where the petitioner is deported, so long as he was in custody when the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was filed and continues to suffer actual collateral consequences of his removal.”).</w:t>
      </w:r>
    </w:p>
  </w:footnote>
  <w:footnote w:id="2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224 </w:t>
      </w:r>
      <w:hyperlink r:id="rId213" w:history="1">
        <w:r>
          <w:rPr>
            <w:rFonts w:ascii="arial" w:eastAsia="arial" w:hAnsi="arial" w:cs="arial"/>
            <w:b w:val="0"/>
            <w:i/>
            <w:strike w:val="0"/>
            <w:noProof w:val="0"/>
            <w:color w:val="0077CC"/>
            <w:position w:val="0"/>
            <w:sz w:val="18"/>
            <w:u w:val="single"/>
            <w:shd w:val="clear" w:color="auto" w:fill="FFFFFF"/>
            <w:vertAlign w:val="baseline"/>
          </w:rPr>
          <w:t>Umanzor v. Lambert, 782 F.2d 1299, 1301 (5th Cir. 1986)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reaffirmed in</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196 (5th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36" w:history="1">
        <w:r>
          <w:rPr>
            <w:rFonts w:ascii="arial" w:eastAsia="arial" w:hAnsi="arial" w:cs="arial"/>
            <w:b w:val="0"/>
            <w:i/>
            <w:strike w:val="0"/>
            <w:noProof w:val="0"/>
            <w:color w:val="0077CC"/>
            <w:position w:val="0"/>
            <w:sz w:val="18"/>
            <w:u w:val="single"/>
            <w:shd w:val="clear" w:color="auto" w:fill="FFFFFF"/>
            <w:vertAlign w:val="baseline"/>
          </w:rPr>
          <w:t>Leitao v. Reno, 311 F.3d 453, 456 (1st. Cir. 2002)</w:t>
        </w:r>
      </w:hyperlink>
      <w:r>
        <w:rPr>
          <w:rFonts w:ascii="arial" w:eastAsia="arial" w:hAnsi="arial" w:cs="arial"/>
          <w:b w:val="0"/>
          <w:i w:val="0"/>
          <w:strike w:val="0"/>
          <w:noProof w:val="0"/>
          <w:color w:val="000000"/>
          <w:position w:val="0"/>
          <w:sz w:val="18"/>
          <w:u w:val="none"/>
          <w:vertAlign w:val="baseline"/>
        </w:rPr>
        <w:t xml:space="preserve"> (permanent bar to readmission due to aggravated felony is a sufficient collateral consequence); </w:t>
      </w:r>
      <w:hyperlink r:id="rId143" w:history="1">
        <w:r>
          <w:rPr>
            <w:rFonts w:ascii="arial" w:eastAsia="arial" w:hAnsi="arial" w:cs="arial"/>
            <w:b w:val="0"/>
            <w:i/>
            <w:strike w:val="0"/>
            <w:noProof w:val="0"/>
            <w:color w:val="0077CC"/>
            <w:position w:val="0"/>
            <w:sz w:val="18"/>
            <w:u w:val="single"/>
            <w:shd w:val="clear" w:color="auto" w:fill="FFFFFF"/>
            <w:vertAlign w:val="baseline"/>
          </w:rPr>
          <w:t>Smith v. Ashcroft, 295 F.3d 425, 428 (4th Cir. 2002)</w:t>
        </w:r>
      </w:hyperlink>
      <w:r>
        <w:rPr>
          <w:rFonts w:ascii="arial" w:eastAsia="arial" w:hAnsi="arial" w:cs="arial"/>
          <w:b w:val="0"/>
          <w:i w:val="0"/>
          <w:strike w:val="0"/>
          <w:noProof w:val="0"/>
          <w:color w:val="000000"/>
          <w:position w:val="0"/>
          <w:sz w:val="18"/>
          <w:u w:val="none"/>
          <w:vertAlign w:val="baseline"/>
        </w:rPr>
        <w:t xml:space="preserve"> (petitioner is prevented from “beneficially unravel[ing] his untoward immigration status”); </w:t>
      </w:r>
      <w:hyperlink r:id="rId337" w:history="1">
        <w:r>
          <w:rPr>
            <w:rFonts w:ascii="arial" w:eastAsia="arial" w:hAnsi="arial" w:cs="arial"/>
            <w:b w:val="0"/>
            <w:i/>
            <w:strike w:val="0"/>
            <w:noProof w:val="0"/>
            <w:color w:val="0077CC"/>
            <w:position w:val="0"/>
            <w:sz w:val="18"/>
            <w:u w:val="single"/>
            <w:shd w:val="clear" w:color="auto" w:fill="FFFFFF"/>
            <w:vertAlign w:val="baseline"/>
          </w:rPr>
          <w:t>Cuevas-Diaz v. Ashcroft, 2002 U.S. App. LEXIS 12451, at **6–7 (9th Cir. June 19, 2002)</w:t>
        </w:r>
      </w:hyperlink>
      <w:r>
        <w:rPr>
          <w:rFonts w:ascii="arial" w:eastAsia="arial" w:hAnsi="arial" w:cs="arial"/>
          <w:b w:val="0"/>
          <w:i w:val="0"/>
          <w:strike w:val="0"/>
          <w:noProof w:val="0"/>
          <w:color w:val="000000"/>
          <w:position w:val="0"/>
          <w:sz w:val="18"/>
          <w:u w:val="none"/>
          <w:vertAlign w:val="baseline"/>
        </w:rPr>
        <w:t xml:space="preserve"> (petitioner continued to suffer collateral consequences of his removal, viz., twenty-year bar to re-entry and ineligibility for cancellation of removal); </w:t>
      </w:r>
      <w:hyperlink r:id="rId338" w:history="1">
        <w:r>
          <w:rPr>
            <w:rFonts w:ascii="arial" w:eastAsia="arial" w:hAnsi="arial" w:cs="arial"/>
            <w:b w:val="0"/>
            <w:i/>
            <w:strike w:val="0"/>
            <w:noProof w:val="0"/>
            <w:color w:val="0077CC"/>
            <w:position w:val="0"/>
            <w:sz w:val="18"/>
            <w:u w:val="single"/>
            <w:shd w:val="clear" w:color="auto" w:fill="FFFFFF"/>
            <w:vertAlign w:val="baseline"/>
          </w:rPr>
          <w:t>Chong v. INS, 264 F.3d 378, 385 (3d Cir. 2001)</w:t>
        </w:r>
      </w:hyperlink>
      <w:r>
        <w:rPr>
          <w:rFonts w:ascii="arial" w:eastAsia="arial" w:hAnsi="arial" w:cs="arial"/>
          <w:b w:val="0"/>
          <w:i w:val="0"/>
          <w:strike w:val="0"/>
          <w:noProof w:val="0"/>
          <w:color w:val="000000"/>
          <w:position w:val="0"/>
          <w:sz w:val="18"/>
          <w:u w:val="none"/>
          <w:vertAlign w:val="baseline"/>
        </w:rPr>
        <w:t xml:space="preserve"> (statutory inability to return for ten years created sufficient collateral consequences of the deportation to prevent the case from being moot); </w:t>
      </w:r>
      <w:hyperlink r:id="rId261" w:history="1">
        <w:r>
          <w:rPr>
            <w:rFonts w:ascii="arial" w:eastAsia="arial" w:hAnsi="arial" w:cs="arial"/>
            <w:b w:val="0"/>
            <w:i/>
            <w:strike w:val="0"/>
            <w:noProof w:val="0"/>
            <w:color w:val="0077CC"/>
            <w:position w:val="0"/>
            <w:sz w:val="18"/>
            <w:u w:val="single"/>
            <w:shd w:val="clear" w:color="auto" w:fill="FFFFFF"/>
            <w:vertAlign w:val="baseline"/>
          </w:rPr>
          <w:t>Reyes-Sanchez v. Ashcroft, 261 F. Supp. 2d 276 (S.D.N.Y. 2003)</w:t>
        </w:r>
      </w:hyperlink>
      <w:r>
        <w:rPr>
          <w:rFonts w:ascii="arial" w:eastAsia="arial" w:hAnsi="arial" w:cs="arial"/>
          <w:b w:val="0"/>
          <w:i w:val="0"/>
          <w:strike w:val="0"/>
          <w:noProof w:val="0"/>
          <w:color w:val="000000"/>
          <w:position w:val="0"/>
          <w:sz w:val="18"/>
          <w:u w:val="none"/>
          <w:vertAlign w:val="baseline"/>
        </w:rPr>
        <w:t xml:space="preserve"> (denial of AIDS treatment that would result from deportation and permanent bar to re-entry constitute sufficient collateral consequences); </w:t>
      </w:r>
      <w:hyperlink r:id="rId339" w:history="1">
        <w:r>
          <w:rPr>
            <w:rFonts w:ascii="arial" w:eastAsia="arial" w:hAnsi="arial" w:cs="arial"/>
            <w:b w:val="0"/>
            <w:i/>
            <w:strike w:val="0"/>
            <w:noProof w:val="0"/>
            <w:color w:val="0077CC"/>
            <w:position w:val="0"/>
            <w:sz w:val="18"/>
            <w:u w:val="single"/>
            <w:shd w:val="clear" w:color="auto" w:fill="FFFFFF"/>
            <w:vertAlign w:val="baseline"/>
          </w:rPr>
          <w:t>Gonzalez v. INS, 2002 U.S. Dist. LEXIS 21148, at *19 (S.D.N.Y. Oct. 31, 2002)</w:t>
        </w:r>
      </w:hyperlink>
      <w:r>
        <w:rPr>
          <w:rFonts w:ascii="arial" w:eastAsia="arial" w:hAnsi="arial" w:cs="arial"/>
          <w:b w:val="0"/>
          <w:i w:val="0"/>
          <w:strike w:val="0"/>
          <w:noProof w:val="0"/>
          <w:color w:val="000000"/>
          <w:position w:val="0"/>
          <w:sz w:val="18"/>
          <w:u w:val="none"/>
          <w:vertAlign w:val="baseline"/>
        </w:rPr>
        <w:t xml:space="preserve"> (bar to re-admission is a sufficient collateral consequence); </w:t>
      </w:r>
      <w:hyperlink r:id="rId333" w:history="1">
        <w:r>
          <w:rPr>
            <w:rFonts w:ascii="arial" w:eastAsia="arial" w:hAnsi="arial" w:cs="arial"/>
            <w:b w:val="0"/>
            <w:i/>
            <w:strike w:val="0"/>
            <w:noProof w:val="0"/>
            <w:color w:val="0077CC"/>
            <w:position w:val="0"/>
            <w:sz w:val="18"/>
            <w:u w:val="single"/>
            <w:shd w:val="clear" w:color="auto" w:fill="FFFFFF"/>
            <w:vertAlign w:val="baseline"/>
          </w:rPr>
          <w:t>Chavez v. U.S. INS, 55 F. Supp. 2d 555, 557 (W.D. La. 1999)</w:t>
        </w:r>
      </w:hyperlink>
      <w:r>
        <w:rPr>
          <w:rFonts w:ascii="arial" w:eastAsia="arial" w:hAnsi="arial" w:cs="arial"/>
          <w:b w:val="0"/>
          <w:i w:val="0"/>
          <w:strike w:val="0"/>
          <w:noProof w:val="0"/>
          <w:color w:val="000000"/>
          <w:position w:val="0"/>
          <w:sz w:val="18"/>
          <w:u w:val="none"/>
          <w:vertAlign w:val="baseline"/>
        </w:rPr>
        <w:t xml:space="preserve"> (ineligibility for a visa is the sort of “concrete disadvantage imposed as a matter of law” that the Supreme Court approved of as falling within the proper scope of the collateral consequences doctrine) (citing </w:t>
      </w:r>
      <w:hyperlink r:id="rId330" w:history="1">
        <w:r>
          <w:rPr>
            <w:rFonts w:ascii="arial" w:eastAsia="arial" w:hAnsi="arial" w:cs="arial"/>
            <w:b w:val="0"/>
            <w:i/>
            <w:strike w:val="0"/>
            <w:noProof w:val="0"/>
            <w:color w:val="0077CC"/>
            <w:position w:val="0"/>
            <w:sz w:val="18"/>
            <w:u w:val="single"/>
            <w:shd w:val="clear" w:color="auto" w:fill="FFFFFF"/>
            <w:vertAlign w:val="baseline"/>
          </w:rPr>
          <w:t>Spencer v. Kemna, 523 U.S. 1, 7–8 (1998))</w:t>
        </w:r>
      </w:hyperlink>
      <w:r>
        <w:rPr>
          <w:rFonts w:ascii="arial" w:eastAsia="arial" w:hAnsi="arial" w:cs="arial"/>
          <w:b w:val="0"/>
          <w:i w:val="0"/>
          <w:strike w:val="0"/>
          <w:noProof w:val="0"/>
          <w:color w:val="000000"/>
          <w:position w:val="0"/>
          <w:sz w:val="18"/>
          <w:u w:val="none"/>
          <w:vertAlign w:val="baseline"/>
        </w:rPr>
        <w:t>.</w:t>
      </w:r>
    </w:p>
  </w:footnote>
  <w:footnote w:id="2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225 </w:t>
      </w:r>
      <w:hyperlink r:id="rId340" w:history="1">
        <w:r>
          <w:rPr>
            <w:rFonts w:ascii="arial" w:eastAsia="arial" w:hAnsi="arial" w:cs="arial"/>
            <w:b w:val="0"/>
            <w:i/>
            <w:strike w:val="0"/>
            <w:noProof w:val="0"/>
            <w:color w:val="0077CC"/>
            <w:position w:val="0"/>
            <w:sz w:val="18"/>
            <w:u w:val="single"/>
            <w:shd w:val="clear" w:color="auto" w:fill="FFFFFF"/>
            <w:vertAlign w:val="baseline"/>
          </w:rPr>
          <w:t>Mendoza v. Jeffers, 2003 U.S. App. LEXIS 5993, at *4–5 (10th Cir. Mar. 27, 2003)</w:t>
        </w:r>
      </w:hyperlink>
      <w:r>
        <w:rPr>
          <w:rFonts w:ascii="arial" w:eastAsia="arial" w:hAnsi="arial" w:cs="arial"/>
          <w:b w:val="0"/>
          <w:i w:val="0"/>
          <w:strike w:val="0"/>
          <w:noProof w:val="0"/>
          <w:color w:val="000000"/>
          <w:position w:val="0"/>
          <w:sz w:val="18"/>
          <w:u w:val="none"/>
          <w:vertAlign w:val="baseline"/>
        </w:rPr>
        <w:t xml:space="preserve"> (deportation by itself satisfies requirement of collateral consequences arising out of a conviction); </w:t>
      </w:r>
      <w:hyperlink r:id="rId341" w:history="1">
        <w:r>
          <w:rPr>
            <w:rFonts w:ascii="arial" w:eastAsia="arial" w:hAnsi="arial" w:cs="arial"/>
            <w:b w:val="0"/>
            <w:i/>
            <w:strike w:val="0"/>
            <w:noProof w:val="0"/>
            <w:color w:val="0077CC"/>
            <w:position w:val="0"/>
            <w:sz w:val="18"/>
            <w:u w:val="single"/>
            <w:shd w:val="clear" w:color="auto" w:fill="FFFFFF"/>
            <w:vertAlign w:val="baseline"/>
          </w:rPr>
          <w:t>Sule v. INS, 1999 U.S. App. LEXIS 20637, at 4–5 (10th Cir. Aug. 27, 1999)</w:t>
        </w:r>
      </w:hyperlink>
      <w:r>
        <w:rPr>
          <w:rFonts w:ascii="arial" w:eastAsia="arial" w:hAnsi="arial" w:cs="arial"/>
          <w:b w:val="0"/>
          <w:i w:val="0"/>
          <w:strike w:val="0"/>
          <w:noProof w:val="0"/>
          <w:color w:val="000000"/>
          <w:position w:val="0"/>
          <w:sz w:val="18"/>
          <w:u w:val="none"/>
          <w:vertAlign w:val="baseline"/>
        </w:rPr>
        <w:t xml:space="preserve"> (“We strongly suspect that deportation may, as a matter of law, always entail collateral consequences … .”); </w:t>
      </w:r>
      <w:hyperlink r:id="rId262" w:history="1">
        <w:r>
          <w:rPr>
            <w:rFonts w:ascii="arial" w:eastAsia="arial" w:hAnsi="arial" w:cs="arial"/>
            <w:b w:val="0"/>
            <w:i/>
            <w:strike w:val="0"/>
            <w:noProof w:val="0"/>
            <w:color w:val="0077CC"/>
            <w:position w:val="0"/>
            <w:sz w:val="18"/>
            <w:u w:val="single"/>
            <w:shd w:val="clear" w:color="auto" w:fill="FFFFFF"/>
            <w:vertAlign w:val="baseline"/>
          </w:rPr>
          <w:t>So v. Reno, 251 F. Supp. 2d 1112, 1122 (E.D.N.Y. 2003)</w:t>
        </w:r>
      </w:hyperlink>
      <w:r>
        <w:rPr>
          <w:rFonts w:ascii="arial" w:eastAsia="arial" w:hAnsi="arial" w:cs="arial"/>
          <w:b w:val="0"/>
          <w:i w:val="0"/>
          <w:strike w:val="0"/>
          <w:noProof w:val="0"/>
          <w:color w:val="000000"/>
          <w:position w:val="0"/>
          <w:sz w:val="18"/>
          <w:u w:val="none"/>
          <w:vertAlign w:val="baseline"/>
        </w:rPr>
        <w:t xml:space="preserve"> (the severity of the consequences of deportation may justify the presumption of adverse collateral consequences for challenging a final removal order).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342" w:history="1">
        <w:r>
          <w:rPr>
            <w:rFonts w:ascii="arial" w:eastAsia="arial" w:hAnsi="arial" w:cs="arial"/>
            <w:b w:val="0"/>
            <w:i/>
            <w:strike w:val="0"/>
            <w:noProof w:val="0"/>
            <w:color w:val="0077CC"/>
            <w:position w:val="0"/>
            <w:sz w:val="18"/>
            <w:u w:val="single"/>
            <w:shd w:val="clear" w:color="auto" w:fill="FFFFFF"/>
            <w:vertAlign w:val="baseline"/>
          </w:rPr>
          <w:t>Louise v. Costello, 2002 U.S. Dist. LEXIS 11950 (S.D.N.Y. July 8, 2002)</w:t>
        </w:r>
      </w:hyperlink>
      <w:r>
        <w:rPr>
          <w:rFonts w:ascii="arial" w:eastAsia="arial" w:hAnsi="arial" w:cs="arial"/>
          <w:b w:val="0"/>
          <w:i w:val="0"/>
          <w:strike w:val="0"/>
          <w:noProof w:val="0"/>
          <w:color w:val="000000"/>
          <w:position w:val="0"/>
          <w:sz w:val="18"/>
          <w:u w:val="none"/>
          <w:vertAlign w:val="baseline"/>
        </w:rPr>
        <w:t xml:space="preserve"> (making the somewhat bizarre ruling that a removed noncitizen does not suffer collateral consequences until he attempts to re-enter the United States, so dismissing the petition and allowing for its renewal if the noncitizen attempts to return).</w:t>
      </w:r>
    </w:p>
  </w:footnote>
  <w:footnote w:id="2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226 </w:t>
      </w:r>
      <w:hyperlink r:id="rId303" w:history="1">
        <w:r>
          <w:rPr>
            <w:rFonts w:ascii="arial" w:eastAsia="arial" w:hAnsi="arial" w:cs="arial"/>
            <w:b w:val="0"/>
            <w:i/>
            <w:strike w:val="0"/>
            <w:noProof w:val="0"/>
            <w:color w:val="0077CC"/>
            <w:position w:val="0"/>
            <w:sz w:val="18"/>
            <w:u w:val="single"/>
            <w:shd w:val="clear" w:color="auto" w:fill="FFFFFF"/>
            <w:vertAlign w:val="baseline"/>
          </w:rPr>
          <w:t>Lee v. Ashcroft, 216 F. Supp. 2d 51, 55 (E.D.N.Y. 2002)</w:t>
        </w:r>
      </w:hyperlink>
      <w:r>
        <w:rPr>
          <w:rFonts w:ascii="arial" w:eastAsia="arial" w:hAnsi="arial" w:cs="arial"/>
          <w:b w:val="0"/>
          <w:i w:val="0"/>
          <w:strike w:val="0"/>
          <w:noProof w:val="0"/>
          <w:color w:val="000000"/>
          <w:position w:val="0"/>
          <w:sz w:val="18"/>
          <w:u w:val="none"/>
          <w:vertAlign w:val="baseline"/>
        </w:rPr>
        <w:t xml:space="preserve"> (“Although he has since been released from physical custody, Petitioner continues to suffer the consequences of the outstanding order of removal, including the imminent fear of deportation and permanent exclusion from the United States … .”).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253" w:history="1">
        <w:r>
          <w:rPr>
            <w:rFonts w:ascii="arial" w:eastAsia="arial" w:hAnsi="arial" w:cs="arial"/>
            <w:b w:val="0"/>
            <w:i/>
            <w:strike w:val="0"/>
            <w:noProof w:val="0"/>
            <w:color w:val="0077CC"/>
            <w:position w:val="0"/>
            <w:sz w:val="18"/>
            <w:u w:val="single"/>
            <w:shd w:val="clear" w:color="auto" w:fill="FFFFFF"/>
            <w:vertAlign w:val="baseline"/>
          </w:rPr>
          <w:t>Camara v. Comfort, 235 F. Supp. 2d 1174, 1176 (D. Colo. 2002)</w:t>
        </w:r>
      </w:hyperlink>
      <w:r>
        <w:rPr>
          <w:rFonts w:ascii="arial" w:eastAsia="arial" w:hAnsi="arial" w:cs="arial"/>
          <w:b w:val="0"/>
          <w:i w:val="0"/>
          <w:strike w:val="0"/>
          <w:noProof w:val="0"/>
          <w:color w:val="000000"/>
          <w:position w:val="0"/>
          <w:sz w:val="18"/>
          <w:u w:val="none"/>
          <w:vertAlign w:val="baseline"/>
        </w:rPr>
        <w:t xml:space="preserve"> (release under an order of supervision does not constitute sufficient collateral consequences).</w:t>
      </w:r>
    </w:p>
  </w:footnote>
  <w:footnote w:id="22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227 </w:t>
      </w:r>
      <w:hyperlink r:id="rId343" w:history="1">
        <w:r>
          <w:rPr>
            <w:rFonts w:ascii="arial" w:eastAsia="arial" w:hAnsi="arial" w:cs="arial"/>
            <w:b w:val="0"/>
            <w:i/>
            <w:strike w:val="0"/>
            <w:noProof w:val="0"/>
            <w:color w:val="0077CC"/>
            <w:position w:val="0"/>
            <w:sz w:val="18"/>
            <w:u w:val="single"/>
            <w:shd w:val="clear" w:color="auto" w:fill="FFFFFF"/>
            <w:vertAlign w:val="baseline"/>
          </w:rPr>
          <w:t>Atanmo v. Ashcroft, 2002 U.S. App. LEXIS 16111 (9th Cir. July 30, 2002)</w:t>
        </w:r>
      </w:hyperlink>
      <w:r>
        <w:rPr>
          <w:rFonts w:ascii="arial" w:eastAsia="arial" w:hAnsi="arial" w:cs="arial"/>
          <w:b w:val="0"/>
          <w:i w:val="0"/>
          <w:strike w:val="0"/>
          <w:noProof w:val="0"/>
          <w:color w:val="000000"/>
          <w:position w:val="0"/>
          <w:sz w:val="18"/>
          <w:u w:val="none"/>
          <w:vertAlign w:val="baseline"/>
        </w:rPr>
        <w:t xml:space="preserve"> (petitioner’s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claim mooted after deportation because the only relief requested was a stay of deportation); </w:t>
      </w:r>
      <w:hyperlink r:id="rId344" w:history="1">
        <w:r>
          <w:rPr>
            <w:rFonts w:ascii="arial" w:eastAsia="arial" w:hAnsi="arial" w:cs="arial"/>
            <w:b w:val="0"/>
            <w:i/>
            <w:strike w:val="0"/>
            <w:noProof w:val="0"/>
            <w:color w:val="0077CC"/>
            <w:position w:val="0"/>
            <w:sz w:val="18"/>
            <w:u w:val="single"/>
            <w:shd w:val="clear" w:color="auto" w:fill="FFFFFF"/>
            <w:vertAlign w:val="baseline"/>
          </w:rPr>
          <w:t>Watson v. INS, 271 F. Supp. 2d 838 (E.D. Va. 2003)</w:t>
        </w:r>
      </w:hyperlink>
      <w:r>
        <w:rPr>
          <w:rFonts w:ascii="arial" w:eastAsia="arial" w:hAnsi="arial" w:cs="arial"/>
          <w:b w:val="0"/>
          <w:i w:val="0"/>
          <w:strike w:val="0"/>
          <w:noProof w:val="0"/>
          <w:color w:val="000000"/>
          <w:position w:val="0"/>
          <w:sz w:val="18"/>
          <w:u w:val="none"/>
          <w:vertAlign w:val="baseline"/>
        </w:rPr>
        <w:t xml:space="preserve"> (petitioner’s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claim mooted after deportation because the only relief requested was release pending removal).</w:t>
      </w:r>
    </w:p>
  </w:footnote>
  <w:footnote w:id="2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228 </w:t>
      </w:r>
      <w:hyperlink r:id="rId345" w:history="1">
        <w:r>
          <w:rPr>
            <w:rFonts w:ascii="arial" w:eastAsia="arial" w:hAnsi="arial" w:cs="arial"/>
            <w:b w:val="0"/>
            <w:i/>
            <w:strike w:val="0"/>
            <w:noProof w:val="0"/>
            <w:color w:val="0077CC"/>
            <w:position w:val="0"/>
            <w:sz w:val="18"/>
            <w:u w:val="single"/>
            <w:shd w:val="clear" w:color="auto" w:fill="FFFFFF"/>
            <w:vertAlign w:val="baseline"/>
          </w:rPr>
          <w:t>Garay Ortez v. Chandler, 845 F.2d 573, 575 (5th Cir. 1988)</w:t>
        </w:r>
      </w:hyperlink>
      <w:r>
        <w:rPr>
          <w:rFonts w:ascii="arial" w:eastAsia="arial" w:hAnsi="arial" w:cs="arial"/>
          <w:b w:val="0"/>
          <w:i w:val="0"/>
          <w:strike w:val="0"/>
          <w:noProof w:val="0"/>
          <w:color w:val="000000"/>
          <w:position w:val="0"/>
          <w:sz w:val="18"/>
          <w:u w:val="none"/>
          <w:vertAlign w:val="baseline"/>
        </w:rPr>
        <w:t>.</w:t>
      </w:r>
    </w:p>
  </w:footnote>
  <w:footnote w:id="22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229 </w:t>
      </w:r>
      <w:hyperlink r:id="rId346" w:history="1">
        <w:r>
          <w:rPr>
            <w:rFonts w:ascii="arial" w:eastAsia="arial" w:hAnsi="arial" w:cs="arial"/>
            <w:b w:val="0"/>
            <w:i/>
            <w:strike w:val="0"/>
            <w:noProof w:val="0"/>
            <w:color w:val="0077CC"/>
            <w:position w:val="0"/>
            <w:sz w:val="18"/>
            <w:u w:val="single"/>
            <w:shd w:val="clear" w:color="auto" w:fill="FFFFFF"/>
            <w:vertAlign w:val="baseline"/>
          </w:rPr>
          <w:t>Perez v. Greiner, 296 F.3d 123 (2d Cir. 2002)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moot because inadmissibility on grounds other than those being reviewed precluded re-entry); </w:t>
      </w:r>
      <w:hyperlink r:id="rId347" w:history="1">
        <w:r>
          <w:rPr>
            <w:rFonts w:ascii="arial" w:eastAsia="arial" w:hAnsi="arial" w:cs="arial"/>
            <w:b w:val="0"/>
            <w:i/>
            <w:strike w:val="0"/>
            <w:noProof w:val="0"/>
            <w:color w:val="0077CC"/>
            <w:position w:val="0"/>
            <w:sz w:val="18"/>
            <w:u w:val="single"/>
            <w:shd w:val="clear" w:color="auto" w:fill="FFFFFF"/>
            <w:vertAlign w:val="baseline"/>
          </w:rPr>
          <w:t>Fonge v. Comfort, 2003 U.S. App. LEXIS 6430, at *7–8 (10th Cir. Apr. 2, 2003)</w:t>
        </w:r>
      </w:hyperlink>
      <w:r>
        <w:rPr>
          <w:rFonts w:ascii="arial" w:eastAsia="arial" w:hAnsi="arial" w:cs="arial"/>
          <w:b w:val="0"/>
          <w:i w:val="0"/>
          <w:strike w:val="0"/>
          <w:noProof w:val="0"/>
          <w:color w:val="000000"/>
          <w:position w:val="0"/>
          <w:sz w:val="18"/>
          <w:u w:val="none"/>
          <w:vertAlign w:val="baseline"/>
        </w:rPr>
        <w:t xml:space="preserve"> (same); </w:t>
      </w:r>
      <w:hyperlink r:id="rId348" w:history="1">
        <w:r>
          <w:rPr>
            <w:rFonts w:ascii="arial" w:eastAsia="arial" w:hAnsi="arial" w:cs="arial"/>
            <w:b w:val="0"/>
            <w:i/>
            <w:strike w:val="0"/>
            <w:noProof w:val="0"/>
            <w:color w:val="0077CC"/>
            <w:position w:val="0"/>
            <w:sz w:val="18"/>
            <w:u w:val="single"/>
            <w:shd w:val="clear" w:color="auto" w:fill="FFFFFF"/>
            <w:vertAlign w:val="baseline"/>
          </w:rPr>
          <w:t>Wilcox v. Aleman, 2002 U.S. App. LEXIS 14802, at **9 (9th Cir. July 22, 2002)</w:t>
        </w:r>
      </w:hyperlink>
      <w:r>
        <w:rPr>
          <w:rFonts w:ascii="arial" w:eastAsia="arial" w:hAnsi="arial" w:cs="arial"/>
          <w:b w:val="0"/>
          <w:i w:val="0"/>
          <w:strike w:val="0"/>
          <w:noProof w:val="0"/>
          <w:color w:val="000000"/>
          <w:position w:val="0"/>
          <w:sz w:val="18"/>
          <w:u w:val="none"/>
          <w:vertAlign w:val="baseline"/>
        </w:rPr>
        <w:t xml:space="preserve"> (same).</w:t>
      </w:r>
    </w:p>
  </w:footnote>
  <w:footnote w:id="2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230 </w:t>
      </w:r>
      <w:hyperlink r:id="rId252" w:history="1">
        <w:r>
          <w:rPr>
            <w:rFonts w:ascii="arial" w:eastAsia="arial" w:hAnsi="arial" w:cs="arial"/>
            <w:b w:val="0"/>
            <w:i/>
            <w:strike w:val="0"/>
            <w:noProof w:val="0"/>
            <w:color w:val="0077CC"/>
            <w:position w:val="0"/>
            <w:sz w:val="18"/>
            <w:u w:val="single"/>
            <w:shd w:val="clear" w:color="auto" w:fill="FFFFFF"/>
            <w:vertAlign w:val="baseline"/>
          </w:rPr>
          <w:t>Rosales-Garcia v. Holland, 322 F.3d 386, 395–96 (6th Cir. 2003)</w:t>
        </w:r>
      </w:hyperlink>
      <w:r>
        <w:rPr>
          <w:rFonts w:ascii="arial" w:eastAsia="arial" w:hAnsi="arial" w:cs="arial"/>
          <w:b w:val="0"/>
          <w:i w:val="0"/>
          <w:strike w:val="0"/>
          <w:noProof w:val="0"/>
          <w:color w:val="000000"/>
          <w:position w:val="0"/>
          <w:sz w:val="18"/>
          <w:u w:val="none"/>
          <w:vertAlign w:val="baseline"/>
        </w:rPr>
        <w:t>.</w:t>
      </w:r>
    </w:p>
  </w:footnote>
  <w:footnote w:id="23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231 </w:t>
      </w:r>
      <w:r>
        <w:rPr>
          <w:rFonts w:ascii="arial" w:eastAsia="arial" w:hAnsi="arial" w:cs="arial"/>
          <w:b w:val="0"/>
          <w:i/>
          <w:strike w:val="0"/>
          <w:noProof w:val="0"/>
          <w:color w:val="000000"/>
          <w:position w:val="0"/>
          <w:sz w:val="18"/>
          <w:u w:val="none"/>
          <w:vertAlign w:val="baseline"/>
        </w:rPr>
        <w:t>Id.; see also</w:t>
      </w:r>
      <w:r>
        <w:rPr>
          <w:rFonts w:ascii="arial" w:eastAsia="arial" w:hAnsi="arial" w:cs="arial"/>
          <w:b w:val="0"/>
          <w:i w:val="0"/>
          <w:strike w:val="0"/>
          <w:noProof w:val="0"/>
          <w:color w:val="000000"/>
          <w:position w:val="0"/>
          <w:sz w:val="18"/>
          <w:u w:val="none"/>
          <w:vertAlign w:val="baseline"/>
        </w:rPr>
        <w:t xml:space="preserve"> </w:t>
      </w:r>
      <w:hyperlink r:id="rId349" w:history="1">
        <w:r>
          <w:rPr>
            <w:rFonts w:ascii="arial" w:eastAsia="arial" w:hAnsi="arial" w:cs="arial"/>
            <w:b w:val="0"/>
            <w:i/>
            <w:strike w:val="0"/>
            <w:noProof w:val="0"/>
            <w:color w:val="0077CC"/>
            <w:position w:val="0"/>
            <w:sz w:val="18"/>
            <w:u w:val="single"/>
            <w:shd w:val="clear" w:color="auto" w:fill="FFFFFF"/>
            <w:vertAlign w:val="baseline"/>
          </w:rPr>
          <w:t>Kazarov v. Achim, 2003 U.S. Dist. LEXIS 22407, at *9 (N.D. Ill. Dec. 12, 2003)</w:t>
        </w:r>
      </w:hyperlink>
      <w:r>
        <w:rPr>
          <w:rFonts w:ascii="arial" w:eastAsia="arial" w:hAnsi="arial" w:cs="arial"/>
          <w:b w:val="0"/>
          <w:i w:val="0"/>
          <w:strike w:val="0"/>
          <w:noProof w:val="0"/>
          <w:color w:val="000000"/>
          <w:position w:val="0"/>
          <w:sz w:val="18"/>
          <w:u w:val="none"/>
          <w:vertAlign w:val="baseline"/>
        </w:rPr>
        <w:t xml:space="preserve"> (Because the two named petitioners were no longer in custody, the court found the challenge to their continued detention was moot; as such, dismissal was proper as to the counts that exclusively raised detention claims relating to the two aliens. Nonetheless, the court found the claims were capable of repetition, yet evading review; thus the class action was not moot.).</w:t>
      </w:r>
    </w:p>
  </w:footnote>
  <w:footnote w:id="2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232 </w:t>
      </w:r>
      <w:hyperlink r:id="rId350" w:history="1">
        <w:r>
          <w:rPr>
            <w:rFonts w:ascii="arial" w:eastAsia="arial" w:hAnsi="arial" w:cs="arial"/>
            <w:b w:val="0"/>
            <w:i/>
            <w:strike w:val="0"/>
            <w:noProof w:val="0"/>
            <w:color w:val="0077CC"/>
            <w:position w:val="0"/>
            <w:sz w:val="18"/>
            <w:u w:val="single"/>
            <w:shd w:val="clear" w:color="auto" w:fill="FFFFFF"/>
            <w:vertAlign w:val="baseline"/>
          </w:rPr>
          <w:t>Gisbert v. Att’y Gen., 988 F.2d 1437, 1440 n.5 (5th Cir. 1993)</w:t>
        </w:r>
      </w:hyperlink>
      <w:r>
        <w:rPr>
          <w:rFonts w:ascii="arial" w:eastAsia="arial" w:hAnsi="arial" w:cs="arial"/>
          <w:b w:val="0"/>
          <w:i w:val="0"/>
          <w:strike w:val="0"/>
          <w:noProof w:val="0"/>
          <w:color w:val="000000"/>
          <w:position w:val="0"/>
          <w:sz w:val="18"/>
          <w:u w:val="none"/>
          <w:vertAlign w:val="baseline"/>
        </w:rPr>
        <w:t>.</w:t>
      </w:r>
    </w:p>
  </w:footnote>
  <w:footnote w:id="2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233 </w:t>
      </w:r>
      <w:hyperlink r:id="rId351" w:history="1">
        <w:r>
          <w:rPr>
            <w:rFonts w:ascii="arial" w:eastAsia="arial" w:hAnsi="arial" w:cs="arial"/>
            <w:b w:val="0"/>
            <w:i/>
            <w:strike w:val="0"/>
            <w:noProof w:val="0"/>
            <w:color w:val="0077CC"/>
            <w:position w:val="0"/>
            <w:sz w:val="18"/>
            <w:u w:val="single"/>
            <w:shd w:val="clear" w:color="auto" w:fill="FFFFFF"/>
            <w:vertAlign w:val="baseline"/>
          </w:rPr>
          <w:t>Gisbert v. Att’y Gen., 997 F.2d 1122, 1123 (5th Cir. 1993)</w:t>
        </w:r>
      </w:hyperlink>
      <w:r>
        <w:rPr>
          <w:rFonts w:ascii="arial" w:eastAsia="arial" w:hAnsi="arial" w:cs="arial"/>
          <w:b w:val="0"/>
          <w:i w:val="0"/>
          <w:strike w:val="0"/>
          <w:noProof w:val="0"/>
          <w:color w:val="000000"/>
          <w:position w:val="0"/>
          <w:sz w:val="18"/>
          <w:u w:val="none"/>
          <w:vertAlign w:val="baseline"/>
        </w:rPr>
        <w:t>.</w:t>
      </w:r>
    </w:p>
  </w:footnote>
  <w:footnote w:id="2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234 </w:t>
      </w:r>
      <w:hyperlink r:id="rId352" w:history="1">
        <w:r>
          <w:rPr>
            <w:rFonts w:ascii="arial" w:eastAsia="arial" w:hAnsi="arial" w:cs="arial"/>
            <w:b w:val="0"/>
            <w:i/>
            <w:strike w:val="0"/>
            <w:noProof w:val="0"/>
            <w:color w:val="0077CC"/>
            <w:position w:val="0"/>
            <w:sz w:val="18"/>
            <w:u w:val="single"/>
            <w:shd w:val="clear" w:color="auto" w:fill="FFFFFF"/>
            <w:vertAlign w:val="baseline"/>
          </w:rPr>
          <w:t>Park v. California, 202 F.3d 1146 (9th Cir. 2000)</w:t>
        </w:r>
      </w:hyperlink>
      <w:r>
        <w:rPr>
          <w:rFonts w:ascii="arial" w:eastAsia="arial" w:hAnsi="arial" w:cs="arial"/>
          <w:b w:val="0"/>
          <w:i w:val="0"/>
          <w:strike w:val="0"/>
          <w:noProof w:val="0"/>
          <w:color w:val="000000"/>
          <w:position w:val="0"/>
          <w:sz w:val="18"/>
          <w:u w:val="none"/>
          <w:vertAlign w:val="baseline"/>
        </w:rPr>
        <w:t>.</w:t>
      </w:r>
    </w:p>
  </w:footnote>
  <w:footnote w:id="2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235 </w:t>
      </w:r>
      <w:hyperlink r:id="rId353" w:history="1">
        <w:r>
          <w:rPr>
            <w:rFonts w:ascii="arial" w:eastAsia="arial" w:hAnsi="arial" w:cs="arial"/>
            <w:b w:val="0"/>
            <w:i/>
            <w:strike w:val="0"/>
            <w:noProof w:val="0"/>
            <w:color w:val="0077CC"/>
            <w:position w:val="0"/>
            <w:sz w:val="18"/>
            <w:u w:val="single"/>
            <w:shd w:val="clear" w:color="auto" w:fill="FFFFFF"/>
            <w:vertAlign w:val="baseline"/>
          </w:rPr>
          <w:t>Picrin-Peron v. Rison, 930 F.2d 773, 776 (9th Cir. 1991)</w:t>
        </w:r>
      </w:hyperlink>
      <w:r>
        <w:rPr>
          <w:rFonts w:ascii="arial" w:eastAsia="arial" w:hAnsi="arial" w:cs="arial"/>
          <w:b w:val="0"/>
          <w:i w:val="0"/>
          <w:strike w:val="0"/>
          <w:noProof w:val="0"/>
          <w:color w:val="000000"/>
          <w:position w:val="0"/>
          <w:sz w:val="18"/>
          <w:u w:val="none"/>
          <w:vertAlign w:val="baseline"/>
        </w:rPr>
        <w:t>.</w:t>
      </w:r>
    </w:p>
  </w:footnote>
  <w:footnote w:id="2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236 </w:t>
      </w:r>
      <w:hyperlink r:id="rId354" w:history="1">
        <w:r>
          <w:rPr>
            <w:rFonts w:ascii="arial" w:eastAsia="arial" w:hAnsi="arial" w:cs="arial"/>
            <w:b w:val="0"/>
            <w:i/>
            <w:strike w:val="0"/>
            <w:noProof w:val="0"/>
            <w:color w:val="0077CC"/>
            <w:position w:val="0"/>
            <w:sz w:val="18"/>
            <w:u w:val="single"/>
            <w:shd w:val="clear" w:color="auto" w:fill="FFFFFF"/>
            <w:vertAlign w:val="baseline"/>
          </w:rPr>
          <w:t>Suarez-Tejeda v. United States, 2004 U.S. App. LEXIS 633 (10th Cir. Jan. 16, 2004)</w:t>
        </w:r>
      </w:hyperlink>
      <w:r>
        <w:rPr>
          <w:rFonts w:ascii="arial" w:eastAsia="arial" w:hAnsi="arial" w:cs="arial"/>
          <w:b w:val="0"/>
          <w:i w:val="0"/>
          <w:strike w:val="0"/>
          <w:noProof w:val="0"/>
          <w:color w:val="000000"/>
          <w:position w:val="0"/>
          <w:sz w:val="18"/>
          <w:u w:val="none"/>
          <w:vertAlign w:val="baseline"/>
        </w:rPr>
        <w:t>.</w:t>
      </w:r>
    </w:p>
  </w:footnote>
  <w:footnote w:id="2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237 </w:t>
      </w:r>
      <w:hyperlink r:id="rId264" w:history="1">
        <w:r>
          <w:rPr>
            <w:rFonts w:ascii="arial" w:eastAsia="arial" w:hAnsi="arial" w:cs="arial"/>
            <w:b w:val="0"/>
            <w:i/>
            <w:strike w:val="0"/>
            <w:noProof w:val="0"/>
            <w:color w:val="0077CC"/>
            <w:position w:val="0"/>
            <w:sz w:val="18"/>
            <w:u w:val="single"/>
            <w:shd w:val="clear" w:color="auto" w:fill="FFFFFF"/>
            <w:vertAlign w:val="baseline"/>
          </w:rPr>
          <w:t>Miranda v. Reno, 238 F.3d 1156, 1158–9 (9th Cir. 2001)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petition is moot if filed after deportation because noncitizen is not “in custody” at the time of filing).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355" w:history="1">
        <w:r>
          <w:rPr>
            <w:rFonts w:ascii="arial" w:eastAsia="arial" w:hAnsi="arial" w:cs="arial"/>
            <w:b w:val="0"/>
            <w:i/>
            <w:strike w:val="0"/>
            <w:noProof w:val="0"/>
            <w:color w:val="0077CC"/>
            <w:position w:val="0"/>
            <w:sz w:val="18"/>
            <w:u w:val="single"/>
            <w:shd w:val="clear" w:color="auto" w:fill="FFFFFF"/>
            <w:vertAlign w:val="baseline"/>
          </w:rPr>
          <w:t>Gutierrez v. Ashcroft, 289 F. Supp. 2d 555 (D.N.J. 2003)</w:t>
        </w:r>
      </w:hyperlink>
      <w:r>
        <w:rPr>
          <w:rFonts w:ascii="arial" w:eastAsia="arial" w:hAnsi="arial" w:cs="arial"/>
          <w:b w:val="0"/>
          <w:i w:val="0"/>
          <w:strike w:val="0"/>
          <w:noProof w:val="0"/>
          <w:color w:val="000000"/>
          <w:position w:val="0"/>
          <w:sz w:val="18"/>
          <w:u w:val="none"/>
          <w:vertAlign w:val="baseline"/>
        </w:rPr>
        <w:t xml:space="preserve"> (ineffective assistance of counsel prevented the petitioner from asserting his right to file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petition before he was deported and amounted to a colorable due process violation; court allowed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as equitable relief). For a discussion of the potential for jurisdiction over petitions filed after deportation or removal, see Peter Bibring, </w:t>
      </w:r>
      <w:r>
        <w:rPr>
          <w:rFonts w:ascii="arial" w:eastAsia="arial" w:hAnsi="arial" w:cs="arial"/>
          <w:b w:val="0"/>
          <w:i/>
          <w:strike w:val="0"/>
          <w:noProof w:val="0"/>
          <w:color w:val="000000"/>
          <w:position w:val="0"/>
          <w:sz w:val="18"/>
          <w:u w:val="none"/>
          <w:vertAlign w:val="baseline"/>
        </w:rPr>
        <w:t xml:space="preserve">Jurisdictional Issues in Post-Removal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strike w:val="0"/>
          <w:noProof w:val="0"/>
          <w:color w:val="000000"/>
          <w:position w:val="0"/>
          <w:sz w:val="18"/>
          <w:u w:val="none"/>
          <w:vertAlign w:val="baseline"/>
        </w:rPr>
        <w:t xml:space="preserve"> Challenges to Orders of Removal</w:t>
      </w:r>
      <w:r>
        <w:rPr>
          <w:rFonts w:ascii="arial" w:eastAsia="arial" w:hAnsi="arial" w:cs="arial"/>
          <w:b w:val="0"/>
          <w:i w:val="0"/>
          <w:strike w:val="0"/>
          <w:noProof w:val="0"/>
          <w:color w:val="000000"/>
          <w:position w:val="0"/>
          <w:sz w:val="18"/>
          <w:u w:val="none"/>
          <w:vertAlign w:val="baseline"/>
        </w:rPr>
        <w:t xml:space="preserve">, </w:t>
      </w:r>
      <w:hyperlink r:id="rId356" w:history="1">
        <w:r>
          <w:rPr>
            <w:rFonts w:ascii="arial" w:eastAsia="arial" w:hAnsi="arial" w:cs="arial"/>
            <w:b w:val="0"/>
            <w:i/>
            <w:strike w:val="0"/>
            <w:noProof w:val="0"/>
            <w:color w:val="0077CC"/>
            <w:position w:val="0"/>
            <w:sz w:val="18"/>
            <w:u w:val="single"/>
            <w:shd w:val="clear" w:color="auto" w:fill="FFFFFF"/>
            <w:vertAlign w:val="baseline"/>
          </w:rPr>
          <w:t>17 Geo. Immigr. L.J. 135 (2002)</w:t>
        </w:r>
      </w:hyperlink>
      <w:r>
        <w:rPr>
          <w:rFonts w:ascii="arial" w:eastAsia="arial" w:hAnsi="arial" w:cs="arial"/>
          <w:b w:val="0"/>
          <w:i w:val="0"/>
          <w:strike w:val="0"/>
          <w:noProof w:val="0"/>
          <w:color w:val="000000"/>
          <w:position w:val="0"/>
          <w:sz w:val="18"/>
          <w:u w:val="none"/>
          <w:vertAlign w:val="baseline"/>
        </w:rPr>
        <w:t>.</w:t>
      </w:r>
    </w:p>
  </w:footnote>
  <w:footnote w:id="2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238 </w:t>
      </w:r>
      <w:hyperlink r:id="rId265" w:history="1">
        <w:r>
          <w:rPr>
            <w:rFonts w:ascii="arial" w:eastAsia="arial" w:hAnsi="arial" w:cs="arial"/>
            <w:b w:val="0"/>
            <w:i/>
            <w:strike w:val="0"/>
            <w:noProof w:val="0"/>
            <w:color w:val="0077CC"/>
            <w:position w:val="0"/>
            <w:sz w:val="18"/>
            <w:u w:val="single"/>
            <w:shd w:val="clear" w:color="auto" w:fill="FFFFFF"/>
            <w:vertAlign w:val="baseline"/>
          </w:rPr>
          <w:t>Terrado v. Moyer, 820 F.2d 920, 921 (7th Cir. 1987)</w:t>
        </w:r>
      </w:hyperlink>
      <w:r>
        <w:rPr>
          <w:rFonts w:ascii="arial" w:eastAsia="arial" w:hAnsi="arial" w:cs="arial"/>
          <w:b w:val="0"/>
          <w:i w:val="0"/>
          <w:strike w:val="0"/>
          <w:noProof w:val="0"/>
          <w:color w:val="000000"/>
          <w:position w:val="0"/>
          <w:sz w:val="18"/>
          <w:u w:val="none"/>
          <w:vertAlign w:val="baseline"/>
        </w:rPr>
        <w:t>.</w:t>
      </w:r>
    </w:p>
  </w:footnote>
  <w:footnote w:id="2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239 </w:t>
      </w:r>
      <w:hyperlink r:id="rId265"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265" w:history="1">
        <w:r>
          <w:rPr>
            <w:rFonts w:ascii="arial" w:eastAsia="arial" w:hAnsi="arial" w:cs="arial"/>
            <w:b w:val="0"/>
            <w:i/>
            <w:strike w:val="0"/>
            <w:noProof w:val="0"/>
            <w:color w:val="0077CC"/>
            <w:position w:val="0"/>
            <w:sz w:val="18"/>
            <w:u w:val="single"/>
            <w:shd w:val="clear" w:color="auto" w:fill="FFFFFF"/>
            <w:vertAlign w:val="baseline"/>
          </w:rPr>
          <w:t>. at 922</w:t>
        </w:r>
      </w:hyperlink>
      <w:r>
        <w:rPr>
          <w:rFonts w:ascii="arial" w:eastAsia="arial" w:hAnsi="arial" w:cs="arial"/>
          <w:b w:val="0"/>
          <w:i w:val="0"/>
          <w:strike w:val="0"/>
          <w:noProof w:val="0"/>
          <w:color w:val="000000"/>
          <w:position w:val="0"/>
          <w:sz w:val="18"/>
          <w:u w:val="none"/>
          <w:vertAlign w:val="baseline"/>
        </w:rPr>
        <w:t xml:space="preserve">. The court left open the possibility that the petitioner could be returned to the United States if her deportation were “invalid.” It noted that the Ninth Circuit had held that a noncitizen may be returned to the United States when a deportation is not “legally executed,” citing </w:t>
      </w:r>
      <w:hyperlink r:id="rId357" w:history="1">
        <w:r>
          <w:rPr>
            <w:rFonts w:ascii="arial" w:eastAsia="arial" w:hAnsi="arial" w:cs="arial"/>
            <w:b w:val="0"/>
            <w:i/>
            <w:strike w:val="0"/>
            <w:noProof w:val="0"/>
            <w:color w:val="0077CC"/>
            <w:position w:val="0"/>
            <w:sz w:val="18"/>
            <w:u w:val="single"/>
            <w:shd w:val="clear" w:color="auto" w:fill="FFFFFF"/>
            <w:vertAlign w:val="baseline"/>
          </w:rPr>
          <w:t>Estrada-Rosales v. INS, 645 F.2d 819 (9th Cir. 1981)</w:t>
        </w:r>
      </w:hyperlink>
      <w:r>
        <w:rPr>
          <w:rFonts w:ascii="arial" w:eastAsia="arial" w:hAnsi="arial" w:cs="arial"/>
          <w:b w:val="0"/>
          <w:i w:val="0"/>
          <w:strike w:val="0"/>
          <w:noProof w:val="0"/>
          <w:color w:val="000000"/>
          <w:position w:val="0"/>
          <w:sz w:val="18"/>
          <w:u w:val="none"/>
          <w:vertAlign w:val="baseline"/>
        </w:rPr>
        <w:t xml:space="preserve">. In this regard, see also </w:t>
      </w:r>
      <w:hyperlink r:id="rId358" w:history="1">
        <w:r>
          <w:rPr>
            <w:rFonts w:ascii="arial" w:eastAsia="arial" w:hAnsi="arial" w:cs="arial"/>
            <w:b w:val="0"/>
            <w:i/>
            <w:strike w:val="0"/>
            <w:noProof w:val="0"/>
            <w:color w:val="0077CC"/>
            <w:position w:val="0"/>
            <w:sz w:val="18"/>
            <w:u w:val="single"/>
            <w:shd w:val="clear" w:color="auto" w:fill="FFFFFF"/>
            <w:vertAlign w:val="baseline"/>
          </w:rPr>
          <w:t>Singh v. Waters</w:t>
        </w:r>
      </w:hyperlink>
      <w:hyperlink r:id="rId358" w:history="1">
        <w:r>
          <w:rPr>
            <w:rFonts w:ascii="arial" w:eastAsia="arial" w:hAnsi="arial" w:cs="arial"/>
            <w:b w:val="0"/>
            <w:i/>
            <w:strike w:val="0"/>
            <w:noProof w:val="0"/>
            <w:color w:val="0077CC"/>
            <w:position w:val="0"/>
            <w:sz w:val="18"/>
            <w:u w:val="single"/>
            <w:shd w:val="clear" w:color="auto" w:fill="FFFFFF"/>
            <w:vertAlign w:val="baseline"/>
          </w:rPr>
          <w:t>, 87 F.3d 346 (9th Cir. 1996)</w:t>
        </w:r>
      </w:hyperlink>
      <w:r>
        <w:rPr>
          <w:rFonts w:ascii="arial" w:eastAsia="arial" w:hAnsi="arial" w:cs="arial"/>
          <w:b w:val="0"/>
          <w:i w:val="0"/>
          <w:strike w:val="0"/>
          <w:noProof w:val="0"/>
          <w:color w:val="000000"/>
          <w:position w:val="0"/>
          <w:sz w:val="18"/>
          <w:u w:val="none"/>
          <w:vertAlign w:val="baseline"/>
        </w:rPr>
        <w:t xml:space="preserve">, </w:t>
      </w:r>
      <w:hyperlink r:id="rId359" w:history="1">
        <w:r>
          <w:rPr>
            <w:rFonts w:ascii="arial" w:eastAsia="arial" w:hAnsi="arial" w:cs="arial"/>
            <w:b w:val="0"/>
            <w:i/>
            <w:strike w:val="0"/>
            <w:noProof w:val="0"/>
            <w:color w:val="0077CC"/>
            <w:position w:val="0"/>
            <w:sz w:val="18"/>
            <w:u w:val="single"/>
            <w:shd w:val="clear" w:color="auto" w:fill="FFFFFF"/>
            <w:vertAlign w:val="baseline"/>
          </w:rPr>
          <w:t>Mendez v. INS</w:t>
        </w:r>
      </w:hyperlink>
      <w:hyperlink r:id="rId359" w:history="1">
        <w:r>
          <w:rPr>
            <w:rFonts w:ascii="arial" w:eastAsia="arial" w:hAnsi="arial" w:cs="arial"/>
            <w:b w:val="0"/>
            <w:i/>
            <w:strike w:val="0"/>
            <w:noProof w:val="0"/>
            <w:color w:val="0077CC"/>
            <w:position w:val="0"/>
            <w:sz w:val="18"/>
            <w:u w:val="single"/>
            <w:shd w:val="clear" w:color="auto" w:fill="FFFFFF"/>
            <w:vertAlign w:val="baseline"/>
          </w:rPr>
          <w:t>, 563 F.2d 956 (9th Cir. 1977)</w:t>
        </w:r>
      </w:hyperlink>
      <w:r>
        <w:rPr>
          <w:rFonts w:ascii="arial" w:eastAsia="arial" w:hAnsi="arial" w:cs="arial"/>
          <w:b w:val="0"/>
          <w:i w:val="0"/>
          <w:strike w:val="0"/>
          <w:noProof w:val="0"/>
          <w:color w:val="000000"/>
          <w:position w:val="0"/>
          <w:sz w:val="18"/>
          <w:u w:val="none"/>
          <w:vertAlign w:val="baseline"/>
        </w:rPr>
        <w:t>, and the materials at 17 Bender’s Immigr. Bull. 938, 952–54 (App. C) (Apr. 1, 2012), 1160, 1177–91 (Apps. E-G) (May 15, 2012).</w:t>
      </w:r>
    </w:p>
  </w:footnote>
  <w:footnote w:id="24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240 </w:t>
      </w:r>
      <w:r>
        <w:rPr>
          <w:rFonts w:ascii="arial" w:eastAsia="arial" w:hAnsi="arial" w:cs="arial"/>
          <w:b w:val="0"/>
          <w:i/>
          <w:strike w:val="0"/>
          <w:noProof w:val="0"/>
          <w:color w:val="000000"/>
          <w:position w:val="0"/>
          <w:sz w:val="18"/>
          <w:u w:val="none"/>
          <w:vertAlign w:val="baseline"/>
        </w:rPr>
        <w:t>Compare</w:t>
      </w:r>
      <w:r>
        <w:rPr>
          <w:rFonts w:ascii="arial" w:eastAsia="arial" w:hAnsi="arial" w:cs="arial"/>
          <w:b w:val="0"/>
          <w:i w:val="0"/>
          <w:strike w:val="0"/>
          <w:noProof w:val="0"/>
          <w:color w:val="000000"/>
          <w:position w:val="0"/>
          <w:sz w:val="18"/>
          <w:u w:val="none"/>
          <w:vertAlign w:val="baseline"/>
        </w:rPr>
        <w:t xml:space="preserve"> </w:t>
      </w:r>
      <w:hyperlink r:id="rId60" w:history="1">
        <w:r>
          <w:rPr>
            <w:rFonts w:ascii="arial" w:eastAsia="arial" w:hAnsi="arial" w:cs="arial"/>
            <w:b w:val="0"/>
            <w:i/>
            <w:strike w:val="0"/>
            <w:noProof w:val="0"/>
            <w:color w:val="0077CC"/>
            <w:position w:val="0"/>
            <w:sz w:val="18"/>
            <w:u w:val="single"/>
            <w:shd w:val="clear" w:color="auto" w:fill="FFFFFF"/>
            <w:vertAlign w:val="baseline"/>
          </w:rPr>
          <w:t>Samirah v. O’Connell, 335 F.3d 545, 550 (7th Cir. 2003)</w:t>
        </w:r>
      </w:hyperlink>
      <w:r>
        <w:rPr>
          <w:rFonts w:ascii="arial" w:eastAsia="arial" w:hAnsi="arial" w:cs="arial"/>
          <w:b w:val="0"/>
          <w:i w:val="0"/>
          <w:strike w:val="0"/>
          <w:noProof w:val="0"/>
          <w:color w:val="000000"/>
          <w:position w:val="0"/>
          <w:sz w:val="18"/>
          <w:u w:val="none"/>
          <w:vertAlign w:val="baseline"/>
        </w:rPr>
        <w:t xml:space="preserve"> (citing this treatise) (“[A]n alien abroad who seeks entry into the United States must, at the very least, suffer some unique restraint that would … constitute custody for the purposes of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w:t>
      </w:r>
      <w:r>
        <w:rPr>
          <w:rFonts w:ascii="arial" w:eastAsia="arial" w:hAnsi="arial" w:cs="arial"/>
          <w:b w:val="0"/>
          <w:i/>
          <w:strike w:val="0"/>
          <w:noProof w:val="0"/>
          <w:color w:val="000000"/>
          <w:position w:val="0"/>
          <w:sz w:val="18"/>
          <w:u w:val="none"/>
          <w:vertAlign w:val="baseline"/>
        </w:rPr>
        <w:t>with</w:t>
      </w:r>
      <w:r>
        <w:rPr>
          <w:rFonts w:ascii="arial" w:eastAsia="arial" w:hAnsi="arial" w:cs="arial"/>
          <w:b w:val="0"/>
          <w:i w:val="0"/>
          <w:strike w:val="0"/>
          <w:noProof w:val="0"/>
          <w:color w:val="000000"/>
          <w:position w:val="0"/>
          <w:sz w:val="18"/>
          <w:u w:val="none"/>
          <w:vertAlign w:val="baseline"/>
        </w:rPr>
        <w:t xml:space="preserve"> </w:t>
      </w:r>
      <w:hyperlink r:id="rId59" w:history="1">
        <w:r>
          <w:rPr>
            <w:rFonts w:ascii="arial" w:eastAsia="arial" w:hAnsi="arial" w:cs="arial"/>
            <w:b w:val="0"/>
            <w:i/>
            <w:strike w:val="0"/>
            <w:noProof w:val="0"/>
            <w:color w:val="0077CC"/>
            <w:position w:val="0"/>
            <w:sz w:val="18"/>
            <w:u w:val="single"/>
            <w:shd w:val="clear" w:color="auto" w:fill="FFFFFF"/>
            <w:vertAlign w:val="baseline"/>
          </w:rPr>
          <w:t>Subias v. Meese, 835 F.2d 1288, 1289 (9th Cir. 1987)</w:t>
        </w:r>
      </w:hyperlink>
      <w:r>
        <w:rPr>
          <w:rFonts w:ascii="arial" w:eastAsia="arial" w:hAnsi="arial" w:cs="arial"/>
          <w:b w:val="0"/>
          <w:i w:val="0"/>
          <w:strike w:val="0"/>
          <w:noProof w:val="0"/>
          <w:color w:val="000000"/>
          <w:position w:val="0"/>
          <w:sz w:val="18"/>
          <w:u w:val="none"/>
          <w:vertAlign w:val="baseline"/>
        </w:rPr>
        <w:t xml:space="preserve"> (a petitioner who is outside the United States but is prohibited from entering this country may bring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action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the requirement of “custody”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is broadly construed to include restriction from entry into the United States, since denial of entry amounts to a restraint on liberty).</w:t>
      </w:r>
    </w:p>
  </w:footnote>
  <w:footnote w:id="241">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241 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Randy Hertz &amp; James S. Liebman, Federal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Practice and Procedure (6th ed. 2011).</w:t>
      </w:r>
    </w:p>
  </w:footnote>
  <w:footnote w:id="24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242 </w:t>
      </w:r>
      <w:hyperlink r:id="rId309" w:history="1">
        <w:r>
          <w:rPr>
            <w:rFonts w:ascii="arial" w:eastAsia="arial" w:hAnsi="arial" w:cs="arial"/>
            <w:b w:val="0"/>
            <w:i/>
            <w:strike w:val="0"/>
            <w:noProof w:val="0"/>
            <w:color w:val="0077CC"/>
            <w:position w:val="0"/>
            <w:sz w:val="18"/>
            <w:u w:val="single"/>
            <w:shd w:val="clear" w:color="auto" w:fill="FFFFFF"/>
            <w:vertAlign w:val="baseline"/>
          </w:rPr>
          <w:t>28 U.S.C. § 2242</w:t>
        </w:r>
      </w:hyperlink>
      <w:r>
        <w:rPr>
          <w:rFonts w:ascii="arial" w:eastAsia="arial" w:hAnsi="arial" w:cs="arial"/>
          <w:b w:val="0"/>
          <w:i w:val="0"/>
          <w:strike w:val="0"/>
          <w:noProof w:val="0"/>
          <w:color w:val="000000"/>
          <w:position w:val="0"/>
          <w:sz w:val="18"/>
          <w:u w:val="none"/>
          <w:vertAlign w:val="baseline"/>
        </w:rPr>
        <w:t xml:space="preserve">; </w:t>
      </w:r>
      <w:hyperlink r:id="rId360" w:history="1">
        <w:r>
          <w:rPr>
            <w:rFonts w:ascii="arial" w:eastAsia="arial" w:hAnsi="arial" w:cs="arial"/>
            <w:b w:val="0"/>
            <w:i/>
            <w:strike w:val="0"/>
            <w:noProof w:val="0"/>
            <w:color w:val="0077CC"/>
            <w:position w:val="0"/>
            <w:sz w:val="18"/>
            <w:u w:val="single"/>
            <w:shd w:val="clear" w:color="auto" w:fill="FFFFFF"/>
            <w:vertAlign w:val="baseline"/>
          </w:rPr>
          <w:t>28 U.S.C. § 1914</w:t>
        </w:r>
      </w:hyperlink>
      <w:r>
        <w:rPr>
          <w:rFonts w:ascii="arial" w:eastAsia="arial" w:hAnsi="arial" w:cs="arial"/>
          <w:b w:val="0"/>
          <w:i w:val="0"/>
          <w:strike w:val="0"/>
          <w:noProof w:val="0"/>
          <w:color w:val="000000"/>
          <w:position w:val="0"/>
          <w:sz w:val="18"/>
          <w:u w:val="none"/>
          <w:vertAlign w:val="baseline"/>
        </w:rPr>
        <w:t xml:space="preserve"> (regarding fees).</w:t>
      </w:r>
    </w:p>
  </w:footnote>
  <w:footnote w:id="24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243 </w:t>
      </w:r>
      <w:hyperlink r:id="rId309" w:history="1">
        <w:r>
          <w:rPr>
            <w:rFonts w:ascii="arial" w:eastAsia="arial" w:hAnsi="arial" w:cs="arial"/>
            <w:b w:val="0"/>
            <w:i/>
            <w:strike w:val="0"/>
            <w:noProof w:val="0"/>
            <w:color w:val="0077CC"/>
            <w:position w:val="0"/>
            <w:sz w:val="18"/>
            <w:u w:val="single"/>
            <w:shd w:val="clear" w:color="auto" w:fill="FFFFFF"/>
            <w:vertAlign w:val="baseline"/>
          </w:rPr>
          <w:t>28 U.S.C. § 2242</w:t>
        </w:r>
      </w:hyperlink>
      <w:r>
        <w:rPr>
          <w:rFonts w:ascii="arial" w:eastAsia="arial" w:hAnsi="arial" w:cs="arial"/>
          <w:b w:val="0"/>
          <w:i w:val="0"/>
          <w:strike w:val="0"/>
          <w:noProof w:val="0"/>
          <w:color w:val="000000"/>
          <w:position w:val="0"/>
          <w:sz w:val="18"/>
          <w:u w:val="none"/>
          <w:vertAlign w:val="baseline"/>
        </w:rPr>
        <w:t>.</w:t>
      </w:r>
    </w:p>
  </w:footnote>
  <w:footnote w:id="2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244 </w:t>
      </w:r>
      <w:hyperlink r:id="rId301" w:history="1">
        <w:r>
          <w:rPr>
            <w:rFonts w:ascii="arial" w:eastAsia="arial" w:hAnsi="arial" w:cs="arial"/>
            <w:b w:val="0"/>
            <w:i/>
            <w:strike w:val="0"/>
            <w:noProof w:val="0"/>
            <w:color w:val="0077CC"/>
            <w:position w:val="0"/>
            <w:sz w:val="18"/>
            <w:u w:val="single"/>
            <w:shd w:val="clear" w:color="auto" w:fill="FFFFFF"/>
            <w:vertAlign w:val="baseline"/>
          </w:rPr>
          <w:t>Ali v. Ashcroft, 213 F.R.D. 390 (W.D. Wash. 2003)</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aff’d on other grounds</w:t>
      </w:r>
      <w:r>
        <w:rPr>
          <w:rFonts w:ascii="arial" w:eastAsia="arial" w:hAnsi="arial" w:cs="arial"/>
          <w:b w:val="0"/>
          <w:i w:val="0"/>
          <w:strike w:val="0"/>
          <w:noProof w:val="0"/>
          <w:color w:val="000000"/>
          <w:position w:val="0"/>
          <w:sz w:val="18"/>
          <w:u w:val="none"/>
          <w:vertAlign w:val="baseline"/>
        </w:rPr>
        <w:t xml:space="preserve">, </w:t>
      </w:r>
      <w:hyperlink r:id="rId302" w:history="1">
        <w:r>
          <w:rPr>
            <w:rFonts w:ascii="arial" w:eastAsia="arial" w:hAnsi="arial" w:cs="arial"/>
            <w:b w:val="0"/>
            <w:i/>
            <w:strike w:val="0"/>
            <w:noProof w:val="0"/>
            <w:color w:val="0077CC"/>
            <w:position w:val="0"/>
            <w:sz w:val="18"/>
            <w:u w:val="single"/>
            <w:shd w:val="clear" w:color="auto" w:fill="FFFFFF"/>
            <w:vertAlign w:val="baseline"/>
          </w:rPr>
          <w:t>346 F.3d 873 (9th Cir. 2003)</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vacated on other grounds</w:t>
      </w:r>
      <w:r>
        <w:rPr>
          <w:rFonts w:ascii="arial" w:eastAsia="arial" w:hAnsi="arial" w:cs="arial"/>
          <w:b w:val="0"/>
          <w:i w:val="0"/>
          <w:strike w:val="0"/>
          <w:noProof w:val="0"/>
          <w:color w:val="000000"/>
          <w:position w:val="0"/>
          <w:sz w:val="18"/>
          <w:u w:val="none"/>
          <w:vertAlign w:val="baseline"/>
        </w:rPr>
        <w:t xml:space="preserve">, </w:t>
      </w:r>
      <w:hyperlink r:id="rId173" w:history="1">
        <w:r>
          <w:rPr>
            <w:rFonts w:ascii="arial" w:eastAsia="arial" w:hAnsi="arial" w:cs="arial"/>
            <w:b w:val="0"/>
            <w:i/>
            <w:strike w:val="0"/>
            <w:noProof w:val="0"/>
            <w:color w:val="0077CC"/>
            <w:position w:val="0"/>
            <w:sz w:val="18"/>
            <w:u w:val="single"/>
            <w:shd w:val="clear" w:color="auto" w:fill="FFFFFF"/>
            <w:vertAlign w:val="baseline"/>
          </w:rPr>
          <w:t>421 F.3d 795 (9th Cir. 2005)</w:t>
        </w:r>
      </w:hyperlink>
      <w:r>
        <w:rPr>
          <w:rFonts w:ascii="arial" w:eastAsia="arial" w:hAnsi="arial" w:cs="arial"/>
          <w:b w:val="0"/>
          <w:i w:val="0"/>
          <w:strike w:val="0"/>
          <w:noProof w:val="0"/>
          <w:color w:val="000000"/>
          <w:position w:val="0"/>
          <w:sz w:val="18"/>
          <w:u w:val="none"/>
          <w:vertAlign w:val="baseline"/>
        </w:rPr>
        <w:t xml:space="preserve"> (certifying the class of Somalis subject to orders of removal and issuing an injunction preventing their removal to Somalia due to that country’s lack of a functioning government);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55" w:history="1">
        <w:r>
          <w:rPr>
            <w:rFonts w:ascii="arial" w:eastAsia="arial" w:hAnsi="arial" w:cs="arial"/>
            <w:b w:val="0"/>
            <w:i/>
            <w:strike w:val="0"/>
            <w:noProof w:val="0"/>
            <w:color w:val="0077CC"/>
            <w:position w:val="0"/>
            <w:sz w:val="18"/>
            <w:u w:val="single"/>
            <w:shd w:val="clear" w:color="auto" w:fill="FFFFFF"/>
            <w:vertAlign w:val="baseline"/>
          </w:rPr>
          <w:t>Reno v. Flores, 507 U.S. 292 (1993)</w:t>
        </w:r>
      </w:hyperlink>
      <w:r>
        <w:rPr>
          <w:rFonts w:ascii="arial" w:eastAsia="arial" w:hAnsi="arial" w:cs="arial"/>
          <w:b w:val="0"/>
          <w:i w:val="0"/>
          <w:strike w:val="0"/>
          <w:noProof w:val="0"/>
          <w:color w:val="000000"/>
          <w:position w:val="0"/>
          <w:sz w:val="18"/>
          <w:u w:val="none"/>
          <w:vertAlign w:val="baseline"/>
        </w:rPr>
        <w:t xml:space="preserve"> (class action challenging the government’s policy of detaining minors in deportation proceedings).</w:t>
      </w:r>
    </w:p>
  </w:footnote>
  <w:footnote w:id="2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245 </w:t>
      </w:r>
      <w:hyperlink r:id="rId309" w:history="1">
        <w:r>
          <w:rPr>
            <w:rFonts w:ascii="arial" w:eastAsia="arial" w:hAnsi="arial" w:cs="arial"/>
            <w:b w:val="0"/>
            <w:i/>
            <w:strike w:val="0"/>
            <w:noProof w:val="0"/>
            <w:color w:val="0077CC"/>
            <w:position w:val="0"/>
            <w:sz w:val="18"/>
            <w:u w:val="single"/>
            <w:shd w:val="clear" w:color="auto" w:fill="FFFFFF"/>
            <w:vertAlign w:val="baseline"/>
          </w:rPr>
          <w:t>28 U.S.C. § 2242</w:t>
        </w:r>
      </w:hyperlink>
      <w:r>
        <w:rPr>
          <w:rFonts w:ascii="arial" w:eastAsia="arial" w:hAnsi="arial" w:cs="arial"/>
          <w:b w:val="0"/>
          <w:i w:val="0"/>
          <w:strike w:val="0"/>
          <w:noProof w:val="0"/>
          <w:color w:val="000000"/>
          <w:position w:val="0"/>
          <w:sz w:val="18"/>
          <w:u w:val="none"/>
          <w:vertAlign w:val="baseline"/>
        </w:rPr>
        <w:t>.</w:t>
      </w:r>
    </w:p>
  </w:footnote>
  <w:footnote w:id="24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246 </w:t>
      </w:r>
      <w:hyperlink r:id="rId71" w:history="1">
        <w:r>
          <w:rPr>
            <w:rFonts w:ascii="arial" w:eastAsia="arial" w:hAnsi="arial" w:cs="arial"/>
            <w:b w:val="0"/>
            <w:i/>
            <w:strike w:val="0"/>
            <w:noProof w:val="0"/>
            <w:color w:val="0077CC"/>
            <w:position w:val="0"/>
            <w:sz w:val="18"/>
            <w:u w:val="single"/>
            <w:shd w:val="clear" w:color="auto" w:fill="FFFFFF"/>
            <w:vertAlign w:val="baseline"/>
          </w:rPr>
          <w:t>INA § 242(c)</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8 U.S.C. § 1252(c)</w:t>
        </w:r>
      </w:hyperlink>
      <w:r>
        <w:rPr>
          <w:rFonts w:ascii="arial" w:eastAsia="arial" w:hAnsi="arial" w:cs="arial"/>
          <w:b w:val="0"/>
          <w:i w:val="0"/>
          <w:strike w:val="0"/>
          <w:noProof w:val="0"/>
          <w:color w:val="000000"/>
          <w:position w:val="0"/>
          <w:sz w:val="18"/>
          <w:u w:val="none"/>
          <w:vertAlign w:val="baseline"/>
        </w:rPr>
        <w:t>. The petition must also provide the name of the court that previously upheld the removal order, the date of the court’s ruling, and the type of proceeding.</w:t>
      </w:r>
    </w:p>
  </w:footnote>
  <w:footnote w:id="24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247 </w:t>
      </w:r>
      <w:r>
        <w:rPr>
          <w:rFonts w:ascii="arial" w:eastAsia="arial" w:hAnsi="arial" w:cs="arial"/>
          <w:b w:val="0"/>
          <w:i/>
          <w:strike w:val="0"/>
          <w:noProof w:val="0"/>
          <w:color w:val="000000"/>
          <w:position w:val="0"/>
          <w:sz w:val="18"/>
          <w:u w:val="none"/>
          <w:vertAlign w:val="baseline"/>
        </w:rPr>
        <w:t xml:space="preserve">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61" w:history="1">
        <w:r>
          <w:rPr>
            <w:rFonts w:ascii="arial" w:eastAsia="arial" w:hAnsi="arial" w:cs="arial"/>
            <w:b w:val="0"/>
            <w:i/>
            <w:strike w:val="0"/>
            <w:noProof w:val="0"/>
            <w:color w:val="0077CC"/>
            <w:position w:val="0"/>
            <w:sz w:val="18"/>
            <w:u w:val="single"/>
            <w:shd w:val="clear" w:color="auto" w:fill="FFFFFF"/>
            <w:vertAlign w:val="baseline"/>
          </w:rPr>
          <w:t>Marquez v. INS, 346 F.3d 892, 897 (9th Cir. 2003)</w:t>
        </w:r>
      </w:hyperlink>
      <w:r>
        <w:rPr>
          <w:rFonts w:ascii="arial" w:eastAsia="arial" w:hAnsi="arial" w:cs="arial"/>
          <w:b w:val="0"/>
          <w:i w:val="0"/>
          <w:strike w:val="0"/>
          <w:noProof w:val="0"/>
          <w:color w:val="000000"/>
          <w:position w:val="0"/>
          <w:sz w:val="18"/>
          <w:u w:val="none"/>
          <w:vertAlign w:val="baseline"/>
        </w:rPr>
        <w:t xml:space="preserve"> (the exhaustion requirement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petitions filed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is a prudential, not statutory, one); </w:t>
      </w:r>
      <w:hyperlink r:id="rId322" w:history="1">
        <w:r>
          <w:rPr>
            <w:rFonts w:ascii="arial" w:eastAsia="arial" w:hAnsi="arial" w:cs="arial"/>
            <w:b w:val="0"/>
            <w:i/>
            <w:strike w:val="0"/>
            <w:noProof w:val="0"/>
            <w:color w:val="0077CC"/>
            <w:position w:val="0"/>
            <w:sz w:val="18"/>
            <w:u w:val="single"/>
            <w:shd w:val="clear" w:color="auto" w:fill="FFFFFF"/>
            <w:vertAlign w:val="baseline"/>
          </w:rPr>
          <w:t>Duvall v. Elwood, 336 F.3d 228, 231 (3d Cir. 2003)</w:t>
        </w:r>
      </w:hyperlink>
      <w:r>
        <w:rPr>
          <w:rFonts w:ascii="arial" w:eastAsia="arial" w:hAnsi="arial" w:cs="arial"/>
          <w:b w:val="0"/>
          <w:i w:val="0"/>
          <w:strike w:val="0"/>
          <w:noProof w:val="0"/>
          <w:color w:val="000000"/>
          <w:position w:val="0"/>
          <w:sz w:val="18"/>
          <w:u w:val="none"/>
          <w:vertAlign w:val="baseline"/>
        </w:rPr>
        <w:t xml:space="preserve"> (the exhaustion requirement applied to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petitions and petitions for review alike); </w:t>
      </w:r>
      <w:hyperlink r:id="rId362" w:history="1">
        <w:r>
          <w:rPr>
            <w:rFonts w:ascii="arial" w:eastAsia="arial" w:hAnsi="arial" w:cs="arial"/>
            <w:b w:val="0"/>
            <w:i/>
            <w:strike w:val="0"/>
            <w:noProof w:val="0"/>
            <w:color w:val="0077CC"/>
            <w:position w:val="0"/>
            <w:sz w:val="18"/>
            <w:u w:val="single"/>
            <w:shd w:val="clear" w:color="auto" w:fill="FFFFFF"/>
            <w:vertAlign w:val="baseline"/>
          </w:rPr>
          <w:t>Beharry v. Ashcroft, 329 F.3d 51, 62 (2d Cir. 2003)</w:t>
        </w:r>
      </w:hyperlink>
      <w:r>
        <w:rPr>
          <w:rFonts w:ascii="arial" w:eastAsia="arial" w:hAnsi="arial" w:cs="arial"/>
          <w:b w:val="0"/>
          <w:i w:val="0"/>
          <w:strike w:val="0"/>
          <w:noProof w:val="0"/>
          <w:color w:val="000000"/>
          <w:position w:val="0"/>
          <w:sz w:val="18"/>
          <w:u w:val="none"/>
          <w:vertAlign w:val="baseline"/>
        </w:rPr>
        <w:t xml:space="preserve"> (petition denied; petitioner failed to exhaust administrative remedies. Petitioner is subject to the judicial exhaustion requirements, leaving undecided whether there is a statutory exhaustion requirement for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petitioners); </w:t>
      </w:r>
      <w:hyperlink r:id="rId363" w:history="1">
        <w:r>
          <w:rPr>
            <w:rFonts w:ascii="arial" w:eastAsia="arial" w:hAnsi="arial" w:cs="arial"/>
            <w:b w:val="0"/>
            <w:i/>
            <w:strike w:val="0"/>
            <w:noProof w:val="0"/>
            <w:color w:val="0077CC"/>
            <w:position w:val="0"/>
            <w:sz w:val="18"/>
            <w:u w:val="single"/>
            <w:shd w:val="clear" w:color="auto" w:fill="FFFFFF"/>
            <w:vertAlign w:val="baseline"/>
          </w:rPr>
          <w:t>Okonkwo v. INS, 2003 U.S. App. LEXIS 8102 (3d Cir. Apr. 29, 2003)</w:t>
        </w:r>
      </w:hyperlink>
      <w:r>
        <w:rPr>
          <w:rFonts w:ascii="arial" w:eastAsia="arial" w:hAnsi="arial" w:cs="arial"/>
          <w:b w:val="0"/>
          <w:i w:val="0"/>
          <w:strike w:val="0"/>
          <w:noProof w:val="0"/>
          <w:color w:val="000000"/>
          <w:position w:val="0"/>
          <w:sz w:val="18"/>
          <w:u w:val="none"/>
          <w:vertAlign w:val="baseline"/>
        </w:rPr>
        <w:t xml:space="preserve"> (petition denied, petitioner failed to exhaust administrative remedies); </w:t>
      </w:r>
      <w:hyperlink r:id="rId337" w:history="1">
        <w:r>
          <w:rPr>
            <w:rFonts w:ascii="arial" w:eastAsia="arial" w:hAnsi="arial" w:cs="arial"/>
            <w:b w:val="0"/>
            <w:i/>
            <w:strike w:val="0"/>
            <w:noProof w:val="0"/>
            <w:color w:val="0077CC"/>
            <w:position w:val="0"/>
            <w:sz w:val="18"/>
            <w:u w:val="single"/>
            <w:shd w:val="clear" w:color="auto" w:fill="FFFFFF"/>
            <w:vertAlign w:val="baseline"/>
          </w:rPr>
          <w:t>Cuevas-Diaz v. Ashcroft, 2002 U.S. App. LEXIS 12451, at **12–13 (9th Cir. June 19, 2002)</w:t>
        </w:r>
      </w:hyperlink>
      <w:r>
        <w:rPr>
          <w:rFonts w:ascii="arial" w:eastAsia="arial" w:hAnsi="arial" w:cs="arial"/>
          <w:b w:val="0"/>
          <w:i w:val="0"/>
          <w:strike w:val="0"/>
          <w:noProof w:val="0"/>
          <w:color w:val="000000"/>
          <w:position w:val="0"/>
          <w:sz w:val="18"/>
          <w:u w:val="none"/>
          <w:vertAlign w:val="baseline"/>
        </w:rPr>
        <w:t xml:space="preserve"> (same as </w:t>
      </w:r>
      <w:r>
        <w:rPr>
          <w:rFonts w:ascii="arial" w:eastAsia="arial" w:hAnsi="arial" w:cs="arial"/>
          <w:b w:val="0"/>
          <w:i/>
          <w:strike w:val="0"/>
          <w:noProof w:val="0"/>
          <w:color w:val="000000"/>
          <w:position w:val="0"/>
          <w:sz w:val="18"/>
          <w:u w:val="none"/>
          <w:vertAlign w:val="baseline"/>
        </w:rPr>
        <w:t>Marquez</w:t>
      </w:r>
      <w:r>
        <w:rPr>
          <w:rFonts w:ascii="arial" w:eastAsia="arial" w:hAnsi="arial" w:cs="arial"/>
          <w:b w:val="0"/>
          <w:i w:val="0"/>
          <w:strike w:val="0"/>
          <w:noProof w:val="0"/>
          <w:color w:val="000000"/>
          <w:position w:val="0"/>
          <w:sz w:val="18"/>
          <w:u w:val="none"/>
          <w:vertAlign w:val="baseline"/>
        </w:rPr>
        <w:t xml:space="preserve">); </w:t>
      </w:r>
      <w:hyperlink r:id="rId364" w:history="1">
        <w:r>
          <w:rPr>
            <w:rFonts w:ascii="arial" w:eastAsia="arial" w:hAnsi="arial" w:cs="arial"/>
            <w:b w:val="0"/>
            <w:i/>
            <w:strike w:val="0"/>
            <w:noProof w:val="0"/>
            <w:color w:val="0077CC"/>
            <w:position w:val="0"/>
            <w:sz w:val="18"/>
            <w:u w:val="single"/>
            <w:shd w:val="clear" w:color="auto" w:fill="FFFFFF"/>
            <w:vertAlign w:val="baseline"/>
          </w:rPr>
          <w:t>Medina v. Fasano, 2002 U.S. App. LEXIS 3684 (9th Cir. Mar. 6, 2002)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filed by noncitizen who left the United States during the pendency of his BIA appeal (i.e., he “self-deported”) was rejected because the abandonment of his BIA appeal resulted in a failure to exhaust administrative remedies); </w:t>
      </w:r>
      <w:hyperlink r:id="rId365" w:history="1">
        <w:r>
          <w:rPr>
            <w:rFonts w:ascii="arial" w:eastAsia="arial" w:hAnsi="arial" w:cs="arial"/>
            <w:b w:val="0"/>
            <w:i/>
            <w:strike w:val="0"/>
            <w:noProof w:val="0"/>
            <w:color w:val="0077CC"/>
            <w:position w:val="0"/>
            <w:sz w:val="18"/>
            <w:u w:val="single"/>
            <w:shd w:val="clear" w:color="auto" w:fill="FFFFFF"/>
            <w:vertAlign w:val="baseline"/>
          </w:rPr>
          <w:t>Kurfees v. INS, 275 F.3d 332 (4th Cir. 2001)</w:t>
        </w:r>
      </w:hyperlink>
      <w:r>
        <w:rPr>
          <w:rFonts w:ascii="arial" w:eastAsia="arial" w:hAnsi="arial" w:cs="arial"/>
          <w:b w:val="0"/>
          <w:i w:val="0"/>
          <w:strike w:val="0"/>
          <w:noProof w:val="0"/>
          <w:color w:val="000000"/>
          <w:position w:val="0"/>
          <w:sz w:val="18"/>
          <w:u w:val="none"/>
          <w:vertAlign w:val="baseline"/>
        </w:rPr>
        <w:t xml:space="preserve"> (petition denied; petitioner failed to exhaust administrative remedies); </w:t>
      </w:r>
      <w:hyperlink r:id="rId366" w:history="1">
        <w:r>
          <w:rPr>
            <w:rFonts w:ascii="arial" w:eastAsia="arial" w:hAnsi="arial" w:cs="arial"/>
            <w:b w:val="0"/>
            <w:i/>
            <w:strike w:val="0"/>
            <w:noProof w:val="0"/>
            <w:color w:val="0077CC"/>
            <w:position w:val="0"/>
            <w:sz w:val="18"/>
            <w:u w:val="single"/>
            <w:shd w:val="clear" w:color="auto" w:fill="FFFFFF"/>
            <w:vertAlign w:val="baseline"/>
          </w:rPr>
          <w:t>Samuel v. INS, 2003 U.S. Dist. LEXIS 20968 (S.D.N.Y. Nov. 14, 2003)</w:t>
        </w:r>
      </w:hyperlink>
      <w:r>
        <w:rPr>
          <w:rFonts w:ascii="arial" w:eastAsia="arial" w:hAnsi="arial" w:cs="arial"/>
          <w:b w:val="0"/>
          <w:i w:val="0"/>
          <w:strike w:val="0"/>
          <w:noProof w:val="0"/>
          <w:color w:val="000000"/>
          <w:position w:val="0"/>
          <w:sz w:val="18"/>
          <w:u w:val="none"/>
          <w:vertAlign w:val="baseline"/>
        </w:rPr>
        <w:t xml:space="preserve"> (petitioner failed to exhaust administrative remedies).</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For a discussion of exhaustion of administrative remedies, particularly the distinction between judicial (or “common law”) and statutory exhaustion, 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367" w:history="1">
        <w:r>
          <w:rPr>
            <w:rFonts w:ascii="arial" w:eastAsia="arial" w:hAnsi="arial" w:cs="arial"/>
            <w:b w:val="0"/>
            <w:i/>
            <w:strike w:val="0"/>
            <w:noProof w:val="0"/>
            <w:color w:val="0077CC"/>
            <w:position w:val="0"/>
            <w:sz w:val="18"/>
            <w:u w:val="single"/>
            <w:shd w:val="clear" w:color="auto" w:fill="FFFFFF"/>
            <w:vertAlign w:val="baseline"/>
          </w:rPr>
          <w:t>§ 104.02[2]</w:t>
        </w:r>
      </w:hyperlink>
      <w:r>
        <w:rPr>
          <w:rFonts w:ascii="arial" w:eastAsia="arial" w:hAnsi="arial" w:cs="arial"/>
          <w:b w:val="0"/>
          <w:i w:val="0"/>
          <w:strike w:val="0"/>
          <w:noProof w:val="0"/>
          <w:color w:val="000000"/>
          <w:position w:val="0"/>
          <w:sz w:val="18"/>
          <w:u w:val="none"/>
          <w:vertAlign w:val="baseline"/>
        </w:rPr>
        <w:t>.</w:t>
      </w:r>
    </w:p>
  </w:footnote>
  <w:footnote w:id="2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248 </w:t>
      </w:r>
      <w:hyperlink r:id="rId368" w:history="1">
        <w:r>
          <w:rPr>
            <w:rFonts w:ascii="arial" w:eastAsia="arial" w:hAnsi="arial" w:cs="arial"/>
            <w:b w:val="0"/>
            <w:i/>
            <w:strike w:val="0"/>
            <w:noProof w:val="0"/>
            <w:color w:val="0077CC"/>
            <w:position w:val="0"/>
            <w:sz w:val="18"/>
            <w:u w:val="single"/>
            <w:shd w:val="clear" w:color="auto" w:fill="FFFFFF"/>
            <w:vertAlign w:val="baseline"/>
          </w:rPr>
          <w:t>Sundar v. INS, 328 F.3d 1320, 1325 (11th Cir. 2003)</w:t>
        </w:r>
      </w:hyperlink>
      <w:r>
        <w:rPr>
          <w:rFonts w:ascii="arial" w:eastAsia="arial" w:hAnsi="arial" w:cs="arial"/>
          <w:b w:val="0"/>
          <w:i w:val="0"/>
          <w:strike w:val="0"/>
          <w:noProof w:val="0"/>
          <w:color w:val="000000"/>
          <w:position w:val="0"/>
          <w:sz w:val="18"/>
          <w:u w:val="none"/>
          <w:vertAlign w:val="baseline"/>
        </w:rPr>
        <w:t xml:space="preserve"> (failure to appeal to the BIA constitutes failure to exhaust administrative remedies, but some constitutional claims do not require exhaustion if the BIA does not have the power to adjudicate them); </w:t>
      </w:r>
      <w:hyperlink r:id="rId369" w:history="1">
        <w:r>
          <w:rPr>
            <w:rFonts w:ascii="arial" w:eastAsia="arial" w:hAnsi="arial" w:cs="arial"/>
            <w:b w:val="0"/>
            <w:i/>
            <w:strike w:val="0"/>
            <w:noProof w:val="0"/>
            <w:color w:val="0077CC"/>
            <w:position w:val="0"/>
            <w:sz w:val="18"/>
            <w:u w:val="single"/>
            <w:shd w:val="clear" w:color="auto" w:fill="FFFFFF"/>
            <w:vertAlign w:val="baseline"/>
          </w:rPr>
          <w:t>Liu v. Waters, 55 F.3d 421, 426 (9th Cir. 1995)</w:t>
        </w:r>
      </w:hyperlink>
      <w:r>
        <w:rPr>
          <w:rFonts w:ascii="arial" w:eastAsia="arial" w:hAnsi="arial" w:cs="arial"/>
          <w:b w:val="0"/>
          <w:i w:val="0"/>
          <w:strike w:val="0"/>
          <w:noProof w:val="0"/>
          <w:color w:val="000000"/>
          <w:position w:val="0"/>
          <w:sz w:val="18"/>
          <w:u w:val="none"/>
          <w:vertAlign w:val="baseline"/>
        </w:rPr>
        <w:t xml:space="preserve">; </w:t>
      </w:r>
      <w:hyperlink r:id="rId253" w:history="1">
        <w:r>
          <w:rPr>
            <w:rFonts w:ascii="arial" w:eastAsia="arial" w:hAnsi="arial" w:cs="arial"/>
            <w:b w:val="0"/>
            <w:i/>
            <w:strike w:val="0"/>
            <w:noProof w:val="0"/>
            <w:color w:val="0077CC"/>
            <w:position w:val="0"/>
            <w:sz w:val="18"/>
            <w:u w:val="single"/>
            <w:shd w:val="clear" w:color="auto" w:fill="FFFFFF"/>
            <w:vertAlign w:val="baseline"/>
          </w:rPr>
          <w:t>Camara v. Comfort, 235 F. Supp. 2d 1174, 1177 (D. Colo. 2002)</w:t>
        </w:r>
      </w:hyperlink>
      <w:r>
        <w:rPr>
          <w:rFonts w:ascii="arial" w:eastAsia="arial" w:hAnsi="arial" w:cs="arial"/>
          <w:b w:val="0"/>
          <w:i w:val="0"/>
          <w:strike w:val="0"/>
          <w:noProof w:val="0"/>
          <w:color w:val="000000"/>
          <w:position w:val="0"/>
          <w:sz w:val="18"/>
          <w:u w:val="none"/>
          <w:vertAlign w:val="baseline"/>
        </w:rPr>
        <w:t>.</w:t>
      </w:r>
    </w:p>
  </w:footnote>
  <w:footnote w:id="2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249 </w:t>
      </w:r>
      <w:hyperlink r:id="rId309" w:history="1">
        <w:r>
          <w:rPr>
            <w:rFonts w:ascii="arial" w:eastAsia="arial" w:hAnsi="arial" w:cs="arial"/>
            <w:b w:val="0"/>
            <w:i/>
            <w:strike w:val="0"/>
            <w:noProof w:val="0"/>
            <w:color w:val="0077CC"/>
            <w:position w:val="0"/>
            <w:sz w:val="18"/>
            <w:u w:val="single"/>
            <w:shd w:val="clear" w:color="auto" w:fill="FFFFFF"/>
            <w:vertAlign w:val="baseline"/>
          </w:rPr>
          <w:t>28 U.S.C. § 2242</w:t>
        </w:r>
      </w:hyperlink>
      <w:r>
        <w:rPr>
          <w:rFonts w:ascii="arial" w:eastAsia="arial" w:hAnsi="arial" w:cs="arial"/>
          <w:b w:val="0"/>
          <w:i w:val="0"/>
          <w:strike w:val="0"/>
          <w:noProof w:val="0"/>
          <w:color w:val="000000"/>
          <w:position w:val="0"/>
          <w:sz w:val="18"/>
          <w:u w:val="none"/>
          <w:vertAlign w:val="baseline"/>
        </w:rPr>
        <w:t>.</w:t>
      </w:r>
    </w:p>
  </w:footnote>
  <w:footnote w:id="2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250 </w:t>
      </w:r>
      <w:hyperlink r:id="rId370" w:history="1">
        <w:r>
          <w:rPr>
            <w:rFonts w:ascii="arial" w:eastAsia="arial" w:hAnsi="arial" w:cs="arial"/>
            <w:b w:val="0"/>
            <w:i/>
            <w:strike w:val="0"/>
            <w:noProof w:val="0"/>
            <w:color w:val="0077CC"/>
            <w:position w:val="0"/>
            <w:sz w:val="18"/>
            <w:u w:val="single"/>
            <w:shd w:val="clear" w:color="auto" w:fill="FFFFFF"/>
            <w:vertAlign w:val="baseline"/>
          </w:rPr>
          <w:t>Saleh v. Meese, 669 F. Supp. 885, 889 (N.D. Ill. 1987)</w:t>
        </w:r>
      </w:hyperlink>
      <w:r>
        <w:rPr>
          <w:rFonts w:ascii="arial" w:eastAsia="arial" w:hAnsi="arial" w:cs="arial"/>
          <w:b w:val="0"/>
          <w:i w:val="0"/>
          <w:strike w:val="0"/>
          <w:noProof w:val="0"/>
          <w:color w:val="000000"/>
          <w:position w:val="0"/>
          <w:sz w:val="18"/>
          <w:u w:val="none"/>
          <w:vertAlign w:val="baseline"/>
        </w:rPr>
        <w:t>, and citations therein.</w:t>
      </w:r>
    </w:p>
  </w:footnote>
  <w:footnote w:id="2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251 </w:t>
      </w:r>
      <w:hyperlink r:id="rId371" w:history="1">
        <w:r>
          <w:rPr>
            <w:rFonts w:ascii="arial" w:eastAsia="arial" w:hAnsi="arial" w:cs="arial"/>
            <w:b w:val="0"/>
            <w:i/>
            <w:strike w:val="0"/>
            <w:noProof w:val="0"/>
            <w:color w:val="0077CC"/>
            <w:position w:val="0"/>
            <w:sz w:val="18"/>
            <w:u w:val="single"/>
            <w:shd w:val="clear" w:color="auto" w:fill="FFFFFF"/>
            <w:vertAlign w:val="baseline"/>
          </w:rPr>
          <w:t>Payo v. Hayes, 754 F. Supp. 164 (N.D. Cal. 1991)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72" w:history="1">
        <w:r>
          <w:rPr>
            <w:rFonts w:ascii="arial" w:eastAsia="arial" w:hAnsi="arial" w:cs="arial"/>
            <w:b w:val="0"/>
            <w:i/>
            <w:strike w:val="0"/>
            <w:noProof w:val="0"/>
            <w:color w:val="0077CC"/>
            <w:position w:val="0"/>
            <w:sz w:val="18"/>
            <w:u w:val="single"/>
            <w:shd w:val="clear" w:color="auto" w:fill="FFFFFF"/>
            <w:vertAlign w:val="baseline"/>
          </w:rPr>
          <w:t>Hook v. Arizona, 496 F.2d 1172 (9th Cir. 1974)</w:t>
        </w:r>
      </w:hyperlink>
      <w:r>
        <w:rPr>
          <w:rFonts w:ascii="arial" w:eastAsia="arial" w:hAnsi="arial" w:cs="arial"/>
          <w:b w:val="0"/>
          <w:i w:val="0"/>
          <w:strike w:val="0"/>
          <w:noProof w:val="0"/>
          <w:color w:val="000000"/>
          <w:position w:val="0"/>
          <w:sz w:val="18"/>
          <w:u w:val="none"/>
          <w:vertAlign w:val="baseline"/>
        </w:rPr>
        <w:t xml:space="preserve"> (court may permit amendment of vague and conclusory allegations in petition).</w:t>
      </w:r>
    </w:p>
  </w:footnote>
  <w:footnote w:id="2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252 </w:t>
      </w:r>
      <w:hyperlink r:id="rId373" w:history="1">
        <w:r>
          <w:rPr>
            <w:rFonts w:ascii="arial" w:eastAsia="arial" w:hAnsi="arial" w:cs="arial"/>
            <w:b w:val="0"/>
            <w:i/>
            <w:strike w:val="0"/>
            <w:noProof w:val="0"/>
            <w:color w:val="0077CC"/>
            <w:position w:val="0"/>
            <w:sz w:val="18"/>
            <w:u w:val="single"/>
            <w:shd w:val="clear" w:color="auto" w:fill="FFFFFF"/>
            <w:vertAlign w:val="baseline"/>
          </w:rPr>
          <w:t>28 U.S.C. § 2244(a)</w:t>
        </w:r>
      </w:hyperlink>
      <w:r>
        <w:rPr>
          <w:rFonts w:ascii="arial" w:eastAsia="arial" w:hAnsi="arial" w:cs="arial"/>
          <w:b w:val="0"/>
          <w:i w:val="0"/>
          <w:strike w:val="0"/>
          <w:noProof w:val="0"/>
          <w:color w:val="000000"/>
          <w:position w:val="0"/>
          <w:sz w:val="18"/>
          <w:u w:val="none"/>
          <w:vertAlign w:val="baseline"/>
        </w:rPr>
        <w:t>.</w:t>
      </w:r>
    </w:p>
  </w:footnote>
  <w:footnote w:id="2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253 </w:t>
      </w:r>
      <w:hyperlink r:id="rId252" w:history="1">
        <w:r>
          <w:rPr>
            <w:rFonts w:ascii="arial" w:eastAsia="arial" w:hAnsi="arial" w:cs="arial"/>
            <w:b w:val="0"/>
            <w:i/>
            <w:strike w:val="0"/>
            <w:noProof w:val="0"/>
            <w:color w:val="0077CC"/>
            <w:position w:val="0"/>
            <w:sz w:val="18"/>
            <w:u w:val="single"/>
            <w:shd w:val="clear" w:color="auto" w:fill="FFFFFF"/>
            <w:vertAlign w:val="baseline"/>
          </w:rPr>
          <w:t>Rosales-Garcia v. Holland, 322 F.3d 386, 400 (6th Cir. 2003)</w:t>
        </w:r>
      </w:hyperlink>
      <w:r>
        <w:rPr>
          <w:rFonts w:ascii="arial" w:eastAsia="arial" w:hAnsi="arial" w:cs="arial"/>
          <w:b w:val="0"/>
          <w:i w:val="0"/>
          <w:strike w:val="0"/>
          <w:noProof w:val="0"/>
          <w:color w:val="000000"/>
          <w:position w:val="0"/>
          <w:sz w:val="18"/>
          <w:u w:val="none"/>
          <w:vertAlign w:val="baseline"/>
        </w:rPr>
        <w:t xml:space="preserve">. The limitations on successive petitions found in </w:t>
      </w:r>
      <w:hyperlink r:id="rId373" w:history="1">
        <w:r>
          <w:rPr>
            <w:rFonts w:ascii="arial" w:eastAsia="arial" w:hAnsi="arial" w:cs="arial"/>
            <w:b w:val="0"/>
            <w:i/>
            <w:strike w:val="0"/>
            <w:noProof w:val="0"/>
            <w:color w:val="0077CC"/>
            <w:position w:val="0"/>
            <w:sz w:val="18"/>
            <w:u w:val="single"/>
            <w:shd w:val="clear" w:color="auto" w:fill="FFFFFF"/>
            <w:vertAlign w:val="baseline"/>
          </w:rPr>
          <w:t>28 U.S.C. § 2244(b)</w:t>
        </w:r>
      </w:hyperlink>
      <w:r>
        <w:rPr>
          <w:rFonts w:ascii="arial" w:eastAsia="arial" w:hAnsi="arial" w:cs="arial"/>
          <w:b w:val="0"/>
          <w:i w:val="0"/>
          <w:strike w:val="0"/>
          <w:noProof w:val="0"/>
          <w:color w:val="000000"/>
          <w:position w:val="0"/>
          <w:sz w:val="18"/>
          <w:u w:val="none"/>
          <w:vertAlign w:val="baseline"/>
        </w:rPr>
        <w:t xml:space="preserve"> do not apply to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petitions filed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w:t>
      </w:r>
      <w:hyperlink r:id="rId252"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252" w:history="1">
        <w:r>
          <w:rPr>
            <w:rFonts w:ascii="arial" w:eastAsia="arial" w:hAnsi="arial" w:cs="arial"/>
            <w:b w:val="0"/>
            <w:i/>
            <w:strike w:val="0"/>
            <w:noProof w:val="0"/>
            <w:color w:val="0077CC"/>
            <w:position w:val="0"/>
            <w:sz w:val="18"/>
            <w:u w:val="single"/>
            <w:shd w:val="clear" w:color="auto" w:fill="FFFFFF"/>
            <w:vertAlign w:val="baseline"/>
          </w:rPr>
          <w:t>. at 399</w:t>
        </w:r>
      </w:hyperlink>
      <w:r>
        <w:rPr>
          <w:rFonts w:ascii="arial" w:eastAsia="arial" w:hAnsi="arial" w:cs="arial"/>
          <w:b w:val="0"/>
          <w:i w:val="0"/>
          <w:strike w:val="0"/>
          <w:noProof w:val="0"/>
          <w:color w:val="000000"/>
          <w:position w:val="0"/>
          <w:sz w:val="18"/>
          <w:u w:val="none"/>
          <w:vertAlign w:val="baseline"/>
        </w:rPr>
        <w:t xml:space="preserve">; </w:t>
      </w:r>
      <w:hyperlink r:id="rId374" w:history="1">
        <w:r>
          <w:rPr>
            <w:rFonts w:ascii="arial" w:eastAsia="arial" w:hAnsi="arial" w:cs="arial"/>
            <w:b w:val="0"/>
            <w:i/>
            <w:strike w:val="0"/>
            <w:noProof w:val="0"/>
            <w:color w:val="0077CC"/>
            <w:position w:val="0"/>
            <w:sz w:val="18"/>
            <w:u w:val="single"/>
            <w:shd w:val="clear" w:color="auto" w:fill="FFFFFF"/>
            <w:vertAlign w:val="baseline"/>
          </w:rPr>
          <w:t>Zayas v. INS, 311 F.3d 247, 255 (3d Cir. 2002)</w:t>
        </w:r>
      </w:hyperlink>
      <w:r>
        <w:rPr>
          <w:rFonts w:ascii="arial" w:eastAsia="arial" w:hAnsi="arial" w:cs="arial"/>
          <w:b w:val="0"/>
          <w:i w:val="0"/>
          <w:strike w:val="0"/>
          <w:noProof w:val="0"/>
          <w:color w:val="000000"/>
          <w:position w:val="0"/>
          <w:sz w:val="18"/>
          <w:u w:val="none"/>
          <w:vertAlign w:val="baseline"/>
        </w:rPr>
        <w:t>.</w:t>
      </w:r>
    </w:p>
  </w:footnote>
  <w:footnote w:id="2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254 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374" w:history="1">
        <w:r>
          <w:rPr>
            <w:rFonts w:ascii="arial" w:eastAsia="arial" w:hAnsi="arial" w:cs="arial"/>
            <w:b w:val="0"/>
            <w:i/>
            <w:strike w:val="0"/>
            <w:noProof w:val="0"/>
            <w:color w:val="0077CC"/>
            <w:position w:val="0"/>
            <w:sz w:val="18"/>
            <w:u w:val="single"/>
            <w:shd w:val="clear" w:color="auto" w:fill="FFFFFF"/>
            <w:vertAlign w:val="baseline"/>
          </w:rPr>
          <w:t>Zayas v. INS, 311 F.3d 247, 257 (3d Cir. 2002)</w:t>
        </w:r>
      </w:hyperlink>
      <w:r>
        <w:rPr>
          <w:rFonts w:ascii="arial" w:eastAsia="arial" w:hAnsi="arial" w:cs="arial"/>
          <w:b w:val="0"/>
          <w:i w:val="0"/>
          <w:strike w:val="0"/>
          <w:noProof w:val="0"/>
          <w:color w:val="000000"/>
          <w:position w:val="0"/>
          <w:sz w:val="18"/>
          <w:u w:val="none"/>
          <w:vertAlign w:val="baseline"/>
        </w:rPr>
        <w:t xml:space="preserve"> (citing </w:t>
      </w:r>
      <w:hyperlink r:id="rId375" w:history="1">
        <w:r>
          <w:rPr>
            <w:rFonts w:ascii="arial" w:eastAsia="arial" w:hAnsi="arial" w:cs="arial"/>
            <w:b w:val="0"/>
            <w:i/>
            <w:strike w:val="0"/>
            <w:noProof w:val="0"/>
            <w:color w:val="0077CC"/>
            <w:position w:val="0"/>
            <w:sz w:val="18"/>
            <w:u w:val="single"/>
            <w:shd w:val="clear" w:color="auto" w:fill="FFFFFF"/>
            <w:vertAlign w:val="baseline"/>
          </w:rPr>
          <w:t>McCleskey v. Zant, 499 U.S. 467 (1991))</w:t>
        </w:r>
      </w:hyperlink>
      <w:r>
        <w:rPr>
          <w:rFonts w:ascii="arial" w:eastAsia="arial" w:hAnsi="arial" w:cs="arial"/>
          <w:b w:val="0"/>
          <w:i w:val="0"/>
          <w:strike w:val="0"/>
          <w:noProof w:val="0"/>
          <w:color w:val="000000"/>
          <w:position w:val="0"/>
          <w:sz w:val="18"/>
          <w:u w:val="none"/>
          <w:vertAlign w:val="baseline"/>
        </w:rPr>
        <w:t>.</w:t>
      </w:r>
    </w:p>
  </w:footnote>
  <w:footnote w:id="2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255 </w:t>
      </w:r>
      <w:hyperlink r:id="rId309" w:history="1">
        <w:r>
          <w:rPr>
            <w:rFonts w:ascii="arial" w:eastAsia="arial" w:hAnsi="arial" w:cs="arial"/>
            <w:b w:val="0"/>
            <w:i/>
            <w:strike w:val="0"/>
            <w:noProof w:val="0"/>
            <w:color w:val="0077CC"/>
            <w:position w:val="0"/>
            <w:sz w:val="18"/>
            <w:u w:val="single"/>
            <w:shd w:val="clear" w:color="auto" w:fill="FFFFFF"/>
            <w:vertAlign w:val="baseline"/>
          </w:rPr>
          <w:t>28 U.S.C. § 2242</w:t>
        </w:r>
      </w:hyperlink>
      <w:r>
        <w:rPr>
          <w:rFonts w:ascii="arial" w:eastAsia="arial" w:hAnsi="arial" w:cs="arial"/>
          <w:b w:val="0"/>
          <w:i w:val="0"/>
          <w:strike w:val="0"/>
          <w:noProof w:val="0"/>
          <w:color w:val="000000"/>
          <w:position w:val="0"/>
          <w:sz w:val="18"/>
          <w:u w:val="none"/>
          <w:vertAlign w:val="baseline"/>
        </w:rPr>
        <w:t>.</w:t>
      </w:r>
    </w:p>
  </w:footnote>
  <w:footnote w:id="2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256 </w:t>
      </w:r>
      <w:hyperlink r:id="rId269" w:history="1">
        <w:r>
          <w:rPr>
            <w:rFonts w:ascii="arial" w:eastAsia="arial" w:hAnsi="arial" w:cs="arial"/>
            <w:b w:val="0"/>
            <w:i/>
            <w:strike w:val="0"/>
            <w:noProof w:val="0"/>
            <w:color w:val="0077CC"/>
            <w:position w:val="0"/>
            <w:sz w:val="18"/>
            <w:u w:val="single"/>
            <w:shd w:val="clear" w:color="auto" w:fill="FFFFFF"/>
            <w:vertAlign w:val="baseline"/>
          </w:rPr>
          <w:t>28 U.S.C. § 2243</w:t>
        </w:r>
      </w:hyperlink>
      <w:r>
        <w:rPr>
          <w:rFonts w:ascii="arial" w:eastAsia="arial" w:hAnsi="arial" w:cs="arial"/>
          <w:b w:val="0"/>
          <w:i w:val="0"/>
          <w:strike w:val="0"/>
          <w:noProof w:val="0"/>
          <w:color w:val="000000"/>
          <w:position w:val="0"/>
          <w:sz w:val="18"/>
          <w:u w:val="none"/>
          <w:vertAlign w:val="baseline"/>
        </w:rPr>
        <w:t>.</w:t>
      </w:r>
    </w:p>
  </w:footnote>
  <w:footnote w:id="2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257 </w:t>
      </w:r>
      <w:hyperlink r:id="rId376" w:history="1">
        <w:r>
          <w:rPr>
            <w:rFonts w:ascii="arial" w:eastAsia="arial" w:hAnsi="arial" w:cs="arial"/>
            <w:b w:val="0"/>
            <w:i/>
            <w:strike w:val="0"/>
            <w:noProof w:val="0"/>
            <w:color w:val="0077CC"/>
            <w:position w:val="0"/>
            <w:sz w:val="18"/>
            <w:u w:val="single"/>
            <w:shd w:val="clear" w:color="auto" w:fill="FFFFFF"/>
            <w:vertAlign w:val="baseline"/>
          </w:rPr>
          <w:t>Gaitan-Campanioni v. Thornburgh, 777 F. Supp. 1355 (E.D. Tex. 1991)</w:t>
        </w:r>
      </w:hyperlink>
      <w:r>
        <w:rPr>
          <w:rFonts w:ascii="arial" w:eastAsia="arial" w:hAnsi="arial" w:cs="arial"/>
          <w:b w:val="0"/>
          <w:i w:val="0"/>
          <w:strike w:val="0"/>
          <w:noProof w:val="0"/>
          <w:color w:val="000000"/>
          <w:position w:val="0"/>
          <w:sz w:val="18"/>
          <w:u w:val="none"/>
          <w:vertAlign w:val="baseline"/>
        </w:rPr>
        <w:t>.</w:t>
      </w:r>
    </w:p>
  </w:footnote>
  <w:footnote w:id="25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258 </w:t>
      </w:r>
      <w:hyperlink r:id="rId269" w:history="1">
        <w:r>
          <w:rPr>
            <w:rFonts w:ascii="arial" w:eastAsia="arial" w:hAnsi="arial" w:cs="arial"/>
            <w:b w:val="0"/>
            <w:i/>
            <w:strike w:val="0"/>
            <w:noProof w:val="0"/>
            <w:color w:val="0077CC"/>
            <w:position w:val="0"/>
            <w:sz w:val="18"/>
            <w:u w:val="single"/>
            <w:shd w:val="clear" w:color="auto" w:fill="FFFFFF"/>
            <w:vertAlign w:val="baseline"/>
          </w:rPr>
          <w:t>28 U.S.C. § 2243</w:t>
        </w:r>
      </w:hyperlink>
      <w:r>
        <w:rPr>
          <w:rFonts w:ascii="arial" w:eastAsia="arial" w:hAnsi="arial" w:cs="arial"/>
          <w:b w:val="0"/>
          <w:i w:val="0"/>
          <w:strike w:val="0"/>
          <w:noProof w:val="0"/>
          <w:color w:val="000000"/>
          <w:position w:val="0"/>
          <w:sz w:val="18"/>
          <w:u w:val="none"/>
          <w:vertAlign w:val="baseline"/>
        </w:rPr>
        <w:t>.</w:t>
      </w:r>
    </w:p>
  </w:footnote>
  <w:footnote w:id="25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259 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w:t>
      </w:r>
    </w:p>
  </w:footnote>
  <w:footnote w:id="26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260 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w:t>
      </w:r>
    </w:p>
  </w:footnote>
  <w:footnote w:id="2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261 </w:t>
      </w:r>
      <w:hyperlink r:id="rId377" w:history="1">
        <w:r>
          <w:rPr>
            <w:rFonts w:ascii="arial" w:eastAsia="arial" w:hAnsi="arial" w:cs="arial"/>
            <w:b w:val="0"/>
            <w:i/>
            <w:strike w:val="0"/>
            <w:noProof w:val="0"/>
            <w:color w:val="0077CC"/>
            <w:position w:val="0"/>
            <w:sz w:val="18"/>
            <w:u w:val="single"/>
            <w:shd w:val="clear" w:color="auto" w:fill="FFFFFF"/>
            <w:vertAlign w:val="baseline"/>
          </w:rPr>
          <w:t>28 U.S.C. § 2246</w:t>
        </w:r>
      </w:hyperlink>
      <w:r>
        <w:rPr>
          <w:rFonts w:ascii="arial" w:eastAsia="arial" w:hAnsi="arial" w:cs="arial"/>
          <w:b w:val="0"/>
          <w:i w:val="0"/>
          <w:strike w:val="0"/>
          <w:noProof w:val="0"/>
          <w:color w:val="000000"/>
          <w:position w:val="0"/>
          <w:sz w:val="18"/>
          <w:u w:val="none"/>
          <w:vertAlign w:val="baseline"/>
        </w:rPr>
        <w:t>.</w:t>
      </w:r>
    </w:p>
  </w:footnote>
  <w:footnote w:id="26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262 </w:t>
      </w:r>
      <w:hyperlink r:id="rId378" w:history="1">
        <w:r>
          <w:rPr>
            <w:rFonts w:ascii="arial" w:eastAsia="arial" w:hAnsi="arial" w:cs="arial"/>
            <w:b w:val="0"/>
            <w:i/>
            <w:strike w:val="0"/>
            <w:noProof w:val="0"/>
            <w:color w:val="0077CC"/>
            <w:position w:val="0"/>
            <w:sz w:val="18"/>
            <w:u w:val="single"/>
            <w:shd w:val="clear" w:color="auto" w:fill="FFFFFF"/>
            <w:vertAlign w:val="baseline"/>
          </w:rPr>
          <w:t>28 U.S.C. § 2247</w:t>
        </w:r>
      </w:hyperlink>
      <w:r>
        <w:rPr>
          <w:rFonts w:ascii="arial" w:eastAsia="arial" w:hAnsi="arial" w:cs="arial"/>
          <w:b w:val="0"/>
          <w:i w:val="0"/>
          <w:strike w:val="0"/>
          <w:noProof w:val="0"/>
          <w:color w:val="000000"/>
          <w:position w:val="0"/>
          <w:sz w:val="18"/>
          <w:u w:val="none"/>
          <w:vertAlign w:val="baseline"/>
        </w:rPr>
        <w:t>.</w:t>
      </w:r>
    </w:p>
  </w:footnote>
  <w:footnote w:id="2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263 </w:t>
      </w:r>
      <w:hyperlink r:id="rId269" w:history="1">
        <w:r>
          <w:rPr>
            <w:rFonts w:ascii="arial" w:eastAsia="arial" w:hAnsi="arial" w:cs="arial"/>
            <w:b w:val="0"/>
            <w:i/>
            <w:strike w:val="0"/>
            <w:noProof w:val="0"/>
            <w:color w:val="0077CC"/>
            <w:position w:val="0"/>
            <w:sz w:val="18"/>
            <w:u w:val="single"/>
            <w:shd w:val="clear" w:color="auto" w:fill="FFFFFF"/>
            <w:vertAlign w:val="baseline"/>
          </w:rPr>
          <w:t>28 U.S.C. § 2243</w:t>
        </w:r>
      </w:hyperlink>
      <w:r>
        <w:rPr>
          <w:rFonts w:ascii="arial" w:eastAsia="arial" w:hAnsi="arial" w:cs="arial"/>
          <w:b w:val="0"/>
          <w:i w:val="0"/>
          <w:strike w:val="0"/>
          <w:noProof w:val="0"/>
          <w:color w:val="000000"/>
          <w:position w:val="0"/>
          <w:sz w:val="18"/>
          <w:u w:val="none"/>
          <w:vertAlign w:val="baseline"/>
        </w:rPr>
        <w:t>.</w:t>
      </w:r>
    </w:p>
  </w:footnote>
  <w:footnote w:id="2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264 </w:t>
      </w:r>
      <w:hyperlink r:id="rId379" w:history="1">
        <w:r>
          <w:rPr>
            <w:rFonts w:ascii="arial" w:eastAsia="arial" w:hAnsi="arial" w:cs="arial"/>
            <w:b w:val="0"/>
            <w:i/>
            <w:strike w:val="0"/>
            <w:noProof w:val="0"/>
            <w:color w:val="0077CC"/>
            <w:position w:val="0"/>
            <w:sz w:val="18"/>
            <w:u w:val="single"/>
            <w:shd w:val="clear" w:color="auto" w:fill="FFFFFF"/>
            <w:vertAlign w:val="baseline"/>
          </w:rPr>
          <w:t>Garcia v. Boldin, 691 F.2d 1172 (5th Cir. 1982)</w:t>
        </w:r>
      </w:hyperlink>
      <w:r>
        <w:rPr>
          <w:rFonts w:ascii="arial" w:eastAsia="arial" w:hAnsi="arial" w:cs="arial"/>
          <w:b w:val="0"/>
          <w:i w:val="0"/>
          <w:strike w:val="0"/>
          <w:noProof w:val="0"/>
          <w:color w:val="000000"/>
          <w:position w:val="0"/>
          <w:sz w:val="18"/>
          <w:u w:val="none"/>
          <w:vertAlign w:val="baseline"/>
        </w:rPr>
        <w:t xml:space="preserve"> (upholding magistrate’s authority under </w:t>
      </w:r>
      <w:hyperlink r:id="rId380" w:history="1">
        <w:r>
          <w:rPr>
            <w:rFonts w:ascii="arial" w:eastAsia="arial" w:hAnsi="arial" w:cs="arial"/>
            <w:b w:val="0"/>
            <w:i/>
            <w:strike w:val="0"/>
            <w:noProof w:val="0"/>
            <w:color w:val="0077CC"/>
            <w:position w:val="0"/>
            <w:sz w:val="18"/>
            <w:u w:val="single"/>
            <w:shd w:val="clear" w:color="auto" w:fill="FFFFFF"/>
            <w:vertAlign w:val="baseline"/>
          </w:rPr>
          <w:t>28 U.S.C. § 636(b)</w:t>
        </w:r>
      </w:hyperlink>
      <w:r>
        <w:rPr>
          <w:rFonts w:ascii="arial" w:eastAsia="arial" w:hAnsi="arial" w:cs="arial"/>
          <w:b w:val="0"/>
          <w:i w:val="0"/>
          <w:strike w:val="0"/>
          <w:noProof w:val="0"/>
          <w:color w:val="000000"/>
          <w:position w:val="0"/>
          <w:sz w:val="18"/>
          <w:u w:val="none"/>
          <w:vertAlign w:val="baseline"/>
        </w:rPr>
        <w:t>).</w:t>
      </w:r>
    </w:p>
  </w:footnote>
  <w:footnote w:id="26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265 </w:t>
      </w:r>
      <w:hyperlink r:id="rId381" w:history="1">
        <w:r>
          <w:rPr>
            <w:rFonts w:ascii="arial" w:eastAsia="arial" w:hAnsi="arial" w:cs="arial"/>
            <w:b w:val="0"/>
            <w:i/>
            <w:strike w:val="0"/>
            <w:noProof w:val="0"/>
            <w:color w:val="0077CC"/>
            <w:position w:val="0"/>
            <w:sz w:val="18"/>
            <w:u w:val="single"/>
            <w:shd w:val="clear" w:color="auto" w:fill="FFFFFF"/>
            <w:vertAlign w:val="baseline"/>
          </w:rPr>
          <w:t>Barapind v. Reno, 225 F.3d 1100 (9th Cir. 2000)</w:t>
        </w:r>
      </w:hyperlink>
      <w:r>
        <w:rPr>
          <w:rFonts w:ascii="arial" w:eastAsia="arial" w:hAnsi="arial" w:cs="arial"/>
          <w:b w:val="0"/>
          <w:i w:val="0"/>
          <w:strike w:val="0"/>
          <w:noProof w:val="0"/>
          <w:color w:val="000000"/>
          <w:position w:val="0"/>
          <w:sz w:val="18"/>
          <w:u w:val="none"/>
          <w:vertAlign w:val="baseline"/>
        </w:rPr>
        <w:t xml:space="preserve">; </w:t>
      </w:r>
      <w:hyperlink r:id="rId382" w:history="1">
        <w:r>
          <w:rPr>
            <w:rFonts w:ascii="arial" w:eastAsia="arial" w:hAnsi="arial" w:cs="arial"/>
            <w:b w:val="0"/>
            <w:i/>
            <w:strike w:val="0"/>
            <w:noProof w:val="0"/>
            <w:color w:val="0077CC"/>
            <w:position w:val="0"/>
            <w:sz w:val="18"/>
            <w:u w:val="single"/>
            <w:shd w:val="clear" w:color="auto" w:fill="FFFFFF"/>
            <w:vertAlign w:val="baseline"/>
          </w:rPr>
          <w:t>Valona v. United States, 138 F.3d 693 (7th Cir. 1998)</w:t>
        </w:r>
      </w:hyperlink>
      <w:r>
        <w:rPr>
          <w:rFonts w:ascii="arial" w:eastAsia="arial" w:hAnsi="arial" w:cs="arial"/>
          <w:b w:val="0"/>
          <w:i w:val="0"/>
          <w:strike w:val="0"/>
          <w:noProof w:val="0"/>
          <w:color w:val="000000"/>
          <w:position w:val="0"/>
          <w:sz w:val="18"/>
          <w:u w:val="none"/>
          <w:vertAlign w:val="baseline"/>
        </w:rPr>
        <w:t>.</w:t>
      </w:r>
    </w:p>
  </w:footnote>
  <w:footnote w:id="26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266 </w:t>
      </w:r>
      <w:hyperlink r:id="rId374" w:history="1">
        <w:r>
          <w:rPr>
            <w:rFonts w:ascii="arial" w:eastAsia="arial" w:hAnsi="arial" w:cs="arial"/>
            <w:b w:val="0"/>
            <w:i/>
            <w:strike w:val="0"/>
            <w:noProof w:val="0"/>
            <w:color w:val="0077CC"/>
            <w:position w:val="0"/>
            <w:sz w:val="18"/>
            <w:u w:val="single"/>
            <w:shd w:val="clear" w:color="auto" w:fill="FFFFFF"/>
            <w:vertAlign w:val="baseline"/>
          </w:rPr>
          <w:t>Zayas v. INS, 311 F.3d 247 (3d Cir. 2002)</w:t>
        </w:r>
      </w:hyperlink>
      <w:r>
        <w:rPr>
          <w:rFonts w:ascii="arial" w:eastAsia="arial" w:hAnsi="arial" w:cs="arial"/>
          <w:b w:val="0"/>
          <w:i w:val="0"/>
          <w:strike w:val="0"/>
          <w:noProof w:val="0"/>
          <w:color w:val="000000"/>
          <w:position w:val="0"/>
          <w:sz w:val="18"/>
          <w:u w:val="none"/>
          <w:vertAlign w:val="baseline"/>
        </w:rPr>
        <w:t xml:space="preserve">; </w:t>
      </w:r>
      <w:hyperlink r:id="rId383" w:history="1">
        <w:r>
          <w:rPr>
            <w:rFonts w:ascii="arial" w:eastAsia="arial" w:hAnsi="arial" w:cs="arial"/>
            <w:b w:val="0"/>
            <w:i/>
            <w:strike w:val="0"/>
            <w:noProof w:val="0"/>
            <w:color w:val="0077CC"/>
            <w:position w:val="0"/>
            <w:sz w:val="18"/>
            <w:u w:val="single"/>
            <w:shd w:val="clear" w:color="auto" w:fill="FFFFFF"/>
            <w:vertAlign w:val="baseline"/>
          </w:rPr>
          <w:t>Esposito v. Ashcroft, 288 F. Supp. 2d 292 (E.D.N.Y. 2003)</w:t>
        </w:r>
      </w:hyperlink>
      <w:r>
        <w:rPr>
          <w:rFonts w:ascii="arial" w:eastAsia="arial" w:hAnsi="arial" w:cs="arial"/>
          <w:b w:val="0"/>
          <w:i w:val="0"/>
          <w:strike w:val="0"/>
          <w:noProof w:val="0"/>
          <w:color w:val="000000"/>
          <w:position w:val="0"/>
          <w:sz w:val="18"/>
          <w:u w:val="none"/>
          <w:vertAlign w:val="baseline"/>
        </w:rPr>
        <w:t>.</w:t>
      </w:r>
    </w:p>
  </w:footnote>
  <w:footnote w:id="2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267 </w:t>
      </w:r>
      <w:hyperlink r:id="rId241" w:history="1">
        <w:r>
          <w:rPr>
            <w:rFonts w:ascii="arial" w:eastAsia="arial" w:hAnsi="arial" w:cs="arial"/>
            <w:b w:val="0"/>
            <w:i/>
            <w:strike w:val="0"/>
            <w:noProof w:val="0"/>
            <w:color w:val="0077CC"/>
            <w:position w:val="0"/>
            <w:sz w:val="18"/>
            <w:u w:val="single"/>
            <w:shd w:val="clear" w:color="auto" w:fill="FFFFFF"/>
            <w:vertAlign w:val="baseline"/>
          </w:rPr>
          <w:t>Then v. INS, 58 F. Supp. 2d 422, 429 (D.N.J. 1999)</w:t>
        </w:r>
      </w:hyperlink>
      <w:r>
        <w:rPr>
          <w:rFonts w:ascii="arial" w:eastAsia="arial" w:hAnsi="arial" w:cs="arial"/>
          <w:b w:val="0"/>
          <w:i w:val="0"/>
          <w:strike w:val="0"/>
          <w:noProof w:val="0"/>
          <w:color w:val="000000"/>
          <w:position w:val="0"/>
          <w:sz w:val="18"/>
          <w:u w:val="none"/>
          <w:vertAlign w:val="baseline"/>
        </w:rPr>
        <w:t xml:space="preserve"> (collecting authorities, including </w:t>
      </w:r>
      <w:hyperlink r:id="rId384" w:history="1">
        <w:r>
          <w:rPr>
            <w:rFonts w:ascii="arial" w:eastAsia="arial" w:hAnsi="arial" w:cs="arial"/>
            <w:b w:val="0"/>
            <w:i/>
            <w:strike w:val="0"/>
            <w:noProof w:val="0"/>
            <w:color w:val="0077CC"/>
            <w:position w:val="0"/>
            <w:sz w:val="18"/>
            <w:u w:val="single"/>
            <w:shd w:val="clear" w:color="auto" w:fill="FFFFFF"/>
            <w:vertAlign w:val="baseline"/>
          </w:rPr>
          <w:t>Estelle v. Gamble, 429 U.S. 97, 106 (1976)</w:t>
        </w:r>
      </w:hyperlink>
      <w:r>
        <w:rPr>
          <w:rFonts w:ascii="arial" w:eastAsia="arial" w:hAnsi="arial" w:cs="arial"/>
          <w:b w:val="0"/>
          <w:i w:val="0"/>
          <w:strike w:val="0"/>
          <w:noProof w:val="0"/>
          <w:color w:val="000000"/>
          <w:position w:val="0"/>
          <w:sz w:val="18"/>
          <w:u w:val="none"/>
          <w:vertAlign w:val="baseline"/>
        </w:rPr>
        <w:t xml:space="preserve">, and </w:t>
      </w:r>
      <w:hyperlink r:id="rId385" w:history="1">
        <w:r>
          <w:rPr>
            <w:rFonts w:ascii="arial" w:eastAsia="arial" w:hAnsi="arial" w:cs="arial"/>
            <w:b w:val="0"/>
            <w:i/>
            <w:strike w:val="0"/>
            <w:noProof w:val="0"/>
            <w:color w:val="0077CC"/>
            <w:position w:val="0"/>
            <w:sz w:val="18"/>
            <w:u w:val="single"/>
            <w:shd w:val="clear" w:color="auto" w:fill="FFFFFF"/>
            <w:vertAlign w:val="baseline"/>
          </w:rPr>
          <w:t>United States v. Day, 969 F.2d 39, 42 (3d Cir. 1992))</w:t>
        </w:r>
      </w:hyperlink>
      <w:r>
        <w:rPr>
          <w:rFonts w:ascii="arial" w:eastAsia="arial" w:hAnsi="arial" w:cs="arial"/>
          <w:b w:val="0"/>
          <w:i w:val="0"/>
          <w:strike w:val="0"/>
          <w:noProof w:val="0"/>
          <w:color w:val="000000"/>
          <w:position w:val="0"/>
          <w:sz w:val="18"/>
          <w:u w:val="none"/>
          <w:vertAlign w:val="baseline"/>
        </w:rPr>
        <w:t>.</w:t>
      </w:r>
    </w:p>
  </w:footnote>
  <w:footnote w:id="2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268 </w:t>
      </w:r>
      <w:hyperlink r:id="rId241" w:history="1">
        <w:r>
          <w:rPr>
            <w:rFonts w:ascii="arial" w:eastAsia="arial" w:hAnsi="arial" w:cs="arial"/>
            <w:b w:val="0"/>
            <w:i/>
            <w:strike w:val="0"/>
            <w:noProof w:val="0"/>
            <w:color w:val="0077CC"/>
            <w:position w:val="0"/>
            <w:sz w:val="18"/>
            <w:u w:val="single"/>
            <w:shd w:val="clear" w:color="auto" w:fill="FFFFFF"/>
            <w:vertAlign w:val="baseline"/>
          </w:rPr>
          <w:t>Then v. INS, 58 F. Supp. 2d 422, 429 (D.N.J.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347" w:history="1">
        <w:r>
          <w:rPr>
            <w:rFonts w:ascii="arial" w:eastAsia="arial" w:hAnsi="arial" w:cs="arial"/>
            <w:b w:val="0"/>
            <w:i/>
            <w:strike w:val="0"/>
            <w:noProof w:val="0"/>
            <w:color w:val="0077CC"/>
            <w:position w:val="0"/>
            <w:sz w:val="18"/>
            <w:u w:val="single"/>
            <w:shd w:val="clear" w:color="auto" w:fill="FFFFFF"/>
            <w:vertAlign w:val="baseline"/>
          </w:rPr>
          <w:t>Fonge v. Comfort, 2003 U.S. App. LEXIS 6430, at *4 n.4 (10th Cir. Apr. 2, 2003)</w:t>
        </w:r>
      </w:hyperlink>
      <w:r>
        <w:rPr>
          <w:rFonts w:ascii="arial" w:eastAsia="arial" w:hAnsi="arial" w:cs="arial"/>
          <w:b w:val="0"/>
          <w:i w:val="0"/>
          <w:strike w:val="0"/>
          <w:noProof w:val="0"/>
          <w:color w:val="000000"/>
          <w:position w:val="0"/>
          <w:sz w:val="18"/>
          <w:u w:val="none"/>
          <w:vertAlign w:val="baseline"/>
        </w:rPr>
        <w:t xml:space="preserve"> (“[I]t is not the Court’s duty to search through hundreds of pages of redundant and often irrelevant material to ascertain potential claims the petitioner might have brought.”).</w:t>
      </w:r>
    </w:p>
  </w:footnote>
  <w:footnote w:id="26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269 </w:t>
      </w:r>
      <w:hyperlink r:id="rId386" w:history="1">
        <w:r>
          <w:rPr>
            <w:rFonts w:ascii="arial" w:eastAsia="arial" w:hAnsi="arial" w:cs="arial"/>
            <w:b w:val="0"/>
            <w:i/>
            <w:strike w:val="0"/>
            <w:noProof w:val="0"/>
            <w:color w:val="0077CC"/>
            <w:position w:val="0"/>
            <w:sz w:val="18"/>
            <w:u w:val="single"/>
            <w:shd w:val="clear" w:color="auto" w:fill="FFFFFF"/>
            <w:vertAlign w:val="baseline"/>
          </w:rPr>
          <w:t>28 U.S.C. § 2250</w:t>
        </w:r>
      </w:hyperlink>
      <w:r>
        <w:rPr>
          <w:rFonts w:ascii="arial" w:eastAsia="arial" w:hAnsi="arial" w:cs="arial"/>
          <w:b w:val="0"/>
          <w:i w:val="0"/>
          <w:strike w:val="0"/>
          <w:noProof w:val="0"/>
          <w:color w:val="000000"/>
          <w:position w:val="0"/>
          <w:sz w:val="18"/>
          <w:u w:val="none"/>
          <w:vertAlign w:val="baseline"/>
        </w:rPr>
        <w:t>.</w:t>
      </w:r>
    </w:p>
  </w:footnote>
  <w:footnote w:id="27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270 </w:t>
      </w:r>
      <w:hyperlink r:id="rId387" w:history="1">
        <w:r>
          <w:rPr>
            <w:rFonts w:ascii="arial" w:eastAsia="arial" w:hAnsi="arial" w:cs="arial"/>
            <w:b w:val="0"/>
            <w:i/>
            <w:strike w:val="0"/>
            <w:noProof w:val="0"/>
            <w:color w:val="0077CC"/>
            <w:position w:val="0"/>
            <w:sz w:val="18"/>
            <w:u w:val="single"/>
            <w:shd w:val="clear" w:color="auto" w:fill="FFFFFF"/>
            <w:vertAlign w:val="baseline"/>
          </w:rPr>
          <w:t>United States v. Lewis, 2003 U.S. Dist. LEXIS 61 (E.D. La. Jan. 6, 2003)</w:t>
        </w:r>
      </w:hyperlink>
      <w:r>
        <w:rPr>
          <w:rFonts w:ascii="arial" w:eastAsia="arial" w:hAnsi="arial" w:cs="arial"/>
          <w:b w:val="0"/>
          <w:i w:val="0"/>
          <w:strike w:val="0"/>
          <w:noProof w:val="0"/>
          <w:color w:val="000000"/>
          <w:position w:val="0"/>
          <w:sz w:val="18"/>
          <w:u w:val="none"/>
          <w:vertAlign w:val="baseline"/>
        </w:rPr>
        <w:t>.</w:t>
      </w:r>
    </w:p>
  </w:footnote>
  <w:footnote w:id="2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271 </w:t>
      </w:r>
      <w:hyperlink r:id="rId388" w:history="1">
        <w:r>
          <w:rPr>
            <w:rFonts w:ascii="arial" w:eastAsia="arial" w:hAnsi="arial" w:cs="arial"/>
            <w:b w:val="0"/>
            <w:i/>
            <w:strike w:val="0"/>
            <w:noProof w:val="0"/>
            <w:color w:val="0077CC"/>
            <w:position w:val="0"/>
            <w:sz w:val="18"/>
            <w:u w:val="single"/>
            <w:shd w:val="clear" w:color="auto" w:fill="FFFFFF"/>
            <w:vertAlign w:val="baseline"/>
          </w:rPr>
          <w:t>18 U.S.C. § 3006A(a)(2)</w:t>
        </w:r>
      </w:hyperlink>
      <w:r>
        <w:rPr>
          <w:rFonts w:ascii="arial" w:eastAsia="arial" w:hAnsi="arial" w:cs="arial"/>
          <w:b w:val="0"/>
          <w:i w:val="0"/>
          <w:strike w:val="0"/>
          <w:noProof w:val="0"/>
          <w:color w:val="000000"/>
          <w:position w:val="0"/>
          <w:sz w:val="18"/>
          <w:u w:val="none"/>
          <w:vertAlign w:val="baseline"/>
        </w:rPr>
        <w:t>.</w:t>
      </w:r>
    </w:p>
  </w:footnote>
  <w:footnote w:id="2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272 </w:t>
      </w:r>
      <w:hyperlink r:id="rId215" w:history="1">
        <w:r>
          <w:rPr>
            <w:rFonts w:ascii="arial" w:eastAsia="arial" w:hAnsi="arial" w:cs="arial"/>
            <w:b w:val="0"/>
            <w:i/>
            <w:strike w:val="0"/>
            <w:noProof w:val="0"/>
            <w:color w:val="0077CC"/>
            <w:position w:val="0"/>
            <w:sz w:val="18"/>
            <w:u w:val="single"/>
            <w:shd w:val="clear" w:color="auto" w:fill="FFFFFF"/>
            <w:vertAlign w:val="baseline"/>
          </w:rPr>
          <w:t>Duran v. Reno, 193 F.3d 82, 84 (2d Cir. 1999)</w:t>
        </w:r>
      </w:hyperlink>
      <w:r>
        <w:rPr>
          <w:rFonts w:ascii="arial" w:eastAsia="arial" w:hAnsi="arial" w:cs="arial"/>
          <w:b w:val="0"/>
          <w:i w:val="0"/>
          <w:strike w:val="0"/>
          <w:noProof w:val="0"/>
          <w:color w:val="000000"/>
          <w:position w:val="0"/>
          <w:sz w:val="18"/>
          <w:u w:val="none"/>
          <w:vertAlign w:val="baseline"/>
        </w:rPr>
        <w:t xml:space="preserve"> (granting motion for appointment of counsel to represent state prisoner facing deportation who challenged application of AEDPA § 440(d) to him).</w:t>
      </w:r>
    </w:p>
  </w:footnote>
  <w:footnote w:id="27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273 </w:t>
      </w:r>
      <w:hyperlink r:id="rId389" w:history="1">
        <w:r>
          <w:rPr>
            <w:rFonts w:ascii="arial" w:eastAsia="arial" w:hAnsi="arial" w:cs="arial"/>
            <w:b w:val="0"/>
            <w:i/>
            <w:strike w:val="0"/>
            <w:noProof w:val="0"/>
            <w:color w:val="0077CC"/>
            <w:position w:val="0"/>
            <w:sz w:val="18"/>
            <w:u w:val="single"/>
            <w:shd w:val="clear" w:color="auto" w:fill="FFFFFF"/>
            <w:vertAlign w:val="baseline"/>
          </w:rPr>
          <w:t xml:space="preserve">Maharaj v. Ashcroft, 295 F.3d 963 (9th Cir. 2002) </w:t>
        </w:r>
      </w:hyperlink>
      <w:r>
        <w:rPr>
          <w:rFonts w:ascii="arial" w:eastAsia="arial" w:hAnsi="arial" w:cs="arial"/>
          <w:b w:val="0"/>
          <w:i w:val="0"/>
          <w:strike w:val="0"/>
          <w:noProof w:val="0"/>
          <w:color w:val="000000"/>
          <w:position w:val="0"/>
          <w:sz w:val="18"/>
          <w:u w:val="none"/>
          <w:vertAlign w:val="baseline"/>
        </w:rPr>
        <w:t xml:space="preserve">(the same standard for granting a stay applies in the context of petitions for review and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petitions); </w:t>
      </w:r>
      <w:hyperlink r:id="rId390" w:history="1">
        <w:r>
          <w:rPr>
            <w:rFonts w:ascii="arial" w:eastAsia="arial" w:hAnsi="arial" w:cs="arial"/>
            <w:b w:val="0"/>
            <w:i/>
            <w:strike w:val="0"/>
            <w:noProof w:val="0"/>
            <w:color w:val="0077CC"/>
            <w:position w:val="0"/>
            <w:sz w:val="18"/>
            <w:u w:val="single"/>
            <w:shd w:val="clear" w:color="auto" w:fill="FFFFFF"/>
            <w:vertAlign w:val="baseline"/>
          </w:rPr>
          <w:t>Haio v. INS, 199 F.3d 302, 303 (6th Cir. 1999)</w:t>
        </w:r>
      </w:hyperlink>
      <w:r>
        <w:rPr>
          <w:rFonts w:ascii="arial" w:eastAsia="arial" w:hAnsi="arial" w:cs="arial"/>
          <w:b w:val="0"/>
          <w:i w:val="0"/>
          <w:strike w:val="0"/>
          <w:noProof w:val="0"/>
          <w:color w:val="000000"/>
          <w:position w:val="0"/>
          <w:sz w:val="18"/>
          <w:u w:val="none"/>
          <w:vertAlign w:val="baseline"/>
        </w:rPr>
        <w:t xml:space="preserve">; </w:t>
      </w:r>
      <w:hyperlink r:id="rId391" w:history="1">
        <w:r>
          <w:rPr>
            <w:rFonts w:ascii="arial" w:eastAsia="arial" w:hAnsi="arial" w:cs="arial"/>
            <w:b w:val="0"/>
            <w:i/>
            <w:strike w:val="0"/>
            <w:noProof w:val="0"/>
            <w:color w:val="0077CC"/>
            <w:position w:val="0"/>
            <w:sz w:val="18"/>
            <w:u w:val="single"/>
            <w:shd w:val="clear" w:color="auto" w:fill="FFFFFF"/>
            <w:vertAlign w:val="baseline"/>
          </w:rPr>
          <w:t>Wallace v. Reno, 194 F.3d 279, 285 (1st Cir. 1999)</w:t>
        </w:r>
      </w:hyperlink>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Mustata v. U.S. DOJ, 179 F.3d 1017 (6th Cir. 1999)</w:t>
        </w:r>
      </w:hyperlink>
      <w:r>
        <w:rPr>
          <w:rFonts w:ascii="arial" w:eastAsia="arial" w:hAnsi="arial" w:cs="arial"/>
          <w:b w:val="0"/>
          <w:i w:val="0"/>
          <w:strike w:val="0"/>
          <w:noProof w:val="0"/>
          <w:color w:val="000000"/>
          <w:position w:val="0"/>
          <w:sz w:val="18"/>
          <w:u w:val="none"/>
          <w:vertAlign w:val="baseline"/>
        </w:rPr>
        <w:t xml:space="preserve">; </w:t>
      </w:r>
      <w:hyperlink r:id="rId392" w:history="1">
        <w:r>
          <w:rPr>
            <w:rFonts w:ascii="arial" w:eastAsia="arial" w:hAnsi="arial" w:cs="arial"/>
            <w:b w:val="0"/>
            <w:i/>
            <w:strike w:val="0"/>
            <w:noProof w:val="0"/>
            <w:color w:val="0077CC"/>
            <w:position w:val="0"/>
            <w:sz w:val="18"/>
            <w:u w:val="single"/>
            <w:shd w:val="clear" w:color="auto" w:fill="FFFFFF"/>
            <w:vertAlign w:val="baseline"/>
          </w:rPr>
          <w:t>Saini v. INS, 64 F. Supp. 2d 923, 928 (D. Ariz. 1999)</w:t>
        </w:r>
      </w:hyperlink>
      <w:r>
        <w:rPr>
          <w:rFonts w:ascii="arial" w:eastAsia="arial" w:hAnsi="arial" w:cs="arial"/>
          <w:b w:val="0"/>
          <w:i w:val="0"/>
          <w:strike w:val="0"/>
          <w:noProof w:val="0"/>
          <w:color w:val="000000"/>
          <w:position w:val="0"/>
          <w:sz w:val="18"/>
          <w:u w:val="none"/>
          <w:vertAlign w:val="baseline"/>
        </w:rPr>
        <w:t xml:space="preserve">. The authority of the courts to grant stays of deportation or removal is discussed at length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in § 104.13[4][b][iii]</w:t>
        </w:r>
      </w:hyperlink>
      <w:r>
        <w:rPr>
          <w:rFonts w:ascii="arial" w:eastAsia="arial" w:hAnsi="arial" w:cs="arial"/>
          <w:b w:val="0"/>
          <w:i w:val="0"/>
          <w:strike w:val="0"/>
          <w:noProof w:val="0"/>
          <w:color w:val="000000"/>
          <w:position w:val="0"/>
          <w:sz w:val="18"/>
          <w:u w:val="none"/>
          <w:vertAlign w:val="baseline"/>
        </w:rPr>
        <w:t>.</w:t>
      </w:r>
    </w:p>
  </w:footnote>
  <w:footnote w:id="27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274 </w:t>
      </w:r>
      <w:hyperlink r:id="rId393" w:history="1">
        <w:r>
          <w:rPr>
            <w:rFonts w:ascii="arial" w:eastAsia="arial" w:hAnsi="arial" w:cs="arial"/>
            <w:b w:val="0"/>
            <w:i/>
            <w:strike w:val="0"/>
            <w:noProof w:val="0"/>
            <w:color w:val="0077CC"/>
            <w:position w:val="0"/>
            <w:sz w:val="18"/>
            <w:u w:val="single"/>
            <w:shd w:val="clear" w:color="auto" w:fill="FFFFFF"/>
            <w:vertAlign w:val="baseline"/>
          </w:rPr>
          <w:t>Batista-Taveras v. Ashcroft, 2003 U.S. Dist. LEXIS 4465 (S.D.N.Y. Mar. 25,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requesting stay of removal was granted based on ineffective assistance of counsel).</w:t>
      </w:r>
    </w:p>
  </w:footnote>
  <w:footnote w:id="2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275 </w:t>
      </w:r>
      <w:hyperlink r:id="rId52" w:history="1">
        <w:r>
          <w:rPr>
            <w:rFonts w:ascii="arial" w:eastAsia="arial" w:hAnsi="arial" w:cs="arial"/>
            <w:b w:val="0"/>
            <w:i/>
            <w:strike w:val="0"/>
            <w:noProof w:val="0"/>
            <w:color w:val="0077CC"/>
            <w:position w:val="0"/>
            <w:sz w:val="18"/>
            <w:u w:val="single"/>
            <w:shd w:val="clear" w:color="auto" w:fill="FFFFFF"/>
            <w:vertAlign w:val="baseline"/>
          </w:rPr>
          <w:t>Cheng Fan Kwok v. INS, 392 U.S. 206, 212–17 (1968)</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32" w:history="1">
        <w:r>
          <w:rPr>
            <w:rFonts w:ascii="arial" w:eastAsia="arial" w:hAnsi="arial" w:cs="arial"/>
            <w:b w:val="0"/>
            <w:i/>
            <w:strike w:val="0"/>
            <w:noProof w:val="0"/>
            <w:color w:val="0077CC"/>
            <w:position w:val="0"/>
            <w:sz w:val="18"/>
            <w:u w:val="single"/>
            <w:shd w:val="clear" w:color="auto" w:fill="FFFFFF"/>
            <w:vertAlign w:val="baseline"/>
          </w:rPr>
          <w:t>Anderson v. McElroy, 953 F.2d 803, 805 (2d Cir. 1992)</w:t>
        </w:r>
      </w:hyperlink>
      <w:r>
        <w:rPr>
          <w:rFonts w:ascii="arial" w:eastAsia="arial" w:hAnsi="arial" w:cs="arial"/>
          <w:b w:val="0"/>
          <w:i w:val="0"/>
          <w:strike w:val="0"/>
          <w:noProof w:val="0"/>
          <w:color w:val="000000"/>
          <w:position w:val="0"/>
          <w:sz w:val="18"/>
          <w:u w:val="none"/>
          <w:vertAlign w:val="baseline"/>
        </w:rPr>
        <w:t xml:space="preserve"> (district court had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jurisdiction to review BIA’s denial of motion for a stay of deportation); </w:t>
      </w:r>
      <w:hyperlink r:id="rId133" w:history="1">
        <w:r>
          <w:rPr>
            <w:rFonts w:ascii="arial" w:eastAsia="arial" w:hAnsi="arial" w:cs="arial"/>
            <w:b w:val="0"/>
            <w:i/>
            <w:strike w:val="0"/>
            <w:noProof w:val="0"/>
            <w:color w:val="0077CC"/>
            <w:position w:val="0"/>
            <w:sz w:val="18"/>
            <w:u w:val="single"/>
            <w:shd w:val="clear" w:color="auto" w:fill="FFFFFF"/>
            <w:vertAlign w:val="baseline"/>
          </w:rPr>
          <w:t>Blancada v. Turnage, 891 F.2d 688 (9th Cir. 1989)</w:t>
        </w:r>
      </w:hyperlink>
      <w:r>
        <w:rPr>
          <w:rFonts w:ascii="arial" w:eastAsia="arial" w:hAnsi="arial" w:cs="arial"/>
          <w:b w:val="0"/>
          <w:i w:val="0"/>
          <w:strike w:val="0"/>
          <w:noProof w:val="0"/>
          <w:color w:val="000000"/>
          <w:position w:val="0"/>
          <w:sz w:val="18"/>
          <w:u w:val="none"/>
          <w:vertAlign w:val="baseline"/>
        </w:rPr>
        <w:t xml:space="preserve"> (District Director abused discretion in denying stay, because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petition contained relevant constitutional question); </w:t>
      </w:r>
      <w:hyperlink r:id="rId134" w:history="1">
        <w:r>
          <w:rPr>
            <w:rFonts w:ascii="arial" w:eastAsia="arial" w:hAnsi="arial" w:cs="arial"/>
            <w:b w:val="0"/>
            <w:i/>
            <w:strike w:val="0"/>
            <w:noProof w:val="0"/>
            <w:color w:val="0077CC"/>
            <w:position w:val="0"/>
            <w:sz w:val="18"/>
            <w:u w:val="single"/>
            <w:shd w:val="clear" w:color="auto" w:fill="FFFFFF"/>
            <w:vertAlign w:val="baseline"/>
          </w:rPr>
          <w:t>Narayan v. Ilchert, 799 F. Supp. 1047, 1049 (N.D. Cal. 1992)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was proper where BIA denied motion to stay). Regarding pre-AEDPA case law on district courts’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jurisdiction versus the former INA’s provision “channeling” review to the courts of appeals, 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104.04[2][d]</w:t>
        </w:r>
      </w:hyperlink>
      <w:r>
        <w:rPr>
          <w:rFonts w:ascii="arial" w:eastAsia="arial" w:hAnsi="arial" w:cs="arial"/>
          <w:b w:val="0"/>
          <w:i w:val="0"/>
          <w:strike w:val="0"/>
          <w:noProof w:val="0"/>
          <w:color w:val="000000"/>
          <w:position w:val="0"/>
          <w:sz w:val="18"/>
          <w:u w:val="none"/>
          <w:vertAlign w:val="baseline"/>
        </w:rPr>
        <w:t>.</w:t>
      </w:r>
    </w:p>
  </w:footnote>
  <w:footnote w:id="2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276 </w:t>
      </w:r>
      <w:hyperlink r:id="rId390" w:history="1">
        <w:r>
          <w:rPr>
            <w:rFonts w:ascii="arial" w:eastAsia="arial" w:hAnsi="arial" w:cs="arial"/>
            <w:b w:val="0"/>
            <w:i/>
            <w:strike w:val="0"/>
            <w:noProof w:val="0"/>
            <w:color w:val="0077CC"/>
            <w:position w:val="0"/>
            <w:sz w:val="18"/>
            <w:u w:val="single"/>
            <w:shd w:val="clear" w:color="auto" w:fill="FFFFFF"/>
            <w:vertAlign w:val="baseline"/>
          </w:rPr>
          <w:t>Haio v. INS, 199 F.3d 302, 303 (6th Cir. 1999)</w:t>
        </w:r>
      </w:hyperlink>
      <w:r>
        <w:rPr>
          <w:rFonts w:ascii="arial" w:eastAsia="arial" w:hAnsi="arial" w:cs="arial"/>
          <w:b w:val="0"/>
          <w:i w:val="0"/>
          <w:strike w:val="0"/>
          <w:noProof w:val="0"/>
          <w:color w:val="000000"/>
          <w:position w:val="0"/>
          <w:sz w:val="18"/>
          <w:u w:val="none"/>
          <w:vertAlign w:val="baseline"/>
        </w:rPr>
        <w:t xml:space="preserve">; </w:t>
      </w:r>
      <w:hyperlink r:id="rId391" w:history="1">
        <w:r>
          <w:rPr>
            <w:rFonts w:ascii="arial" w:eastAsia="arial" w:hAnsi="arial" w:cs="arial"/>
            <w:b w:val="0"/>
            <w:i/>
            <w:strike w:val="0"/>
            <w:noProof w:val="0"/>
            <w:color w:val="0077CC"/>
            <w:position w:val="0"/>
            <w:sz w:val="18"/>
            <w:u w:val="single"/>
            <w:shd w:val="clear" w:color="auto" w:fill="FFFFFF"/>
            <w:vertAlign w:val="baseline"/>
          </w:rPr>
          <w:t>Wallace v. Reno, 194 F.3d 279, 295 (1st Cir. 1999)</w:t>
        </w:r>
      </w:hyperlink>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Mustata v. U.S. DOJ, 179 F.3d 1017 (6th Cir. 1999)</w:t>
        </w:r>
      </w:hyperlink>
      <w:r>
        <w:rPr>
          <w:rFonts w:ascii="arial" w:eastAsia="arial" w:hAnsi="arial" w:cs="arial"/>
          <w:b w:val="0"/>
          <w:i w:val="0"/>
          <w:strike w:val="0"/>
          <w:noProof w:val="0"/>
          <w:color w:val="000000"/>
          <w:position w:val="0"/>
          <w:sz w:val="18"/>
          <w:u w:val="none"/>
          <w:vertAlign w:val="baseline"/>
        </w:rPr>
        <w:t xml:space="preserve">; </w:t>
      </w:r>
      <w:hyperlink r:id="rId392" w:history="1">
        <w:r>
          <w:rPr>
            <w:rFonts w:ascii="arial" w:eastAsia="arial" w:hAnsi="arial" w:cs="arial"/>
            <w:b w:val="0"/>
            <w:i/>
            <w:strike w:val="0"/>
            <w:noProof w:val="0"/>
            <w:color w:val="0077CC"/>
            <w:position w:val="0"/>
            <w:sz w:val="18"/>
            <w:u w:val="single"/>
            <w:shd w:val="clear" w:color="auto" w:fill="FFFFFF"/>
            <w:vertAlign w:val="baseline"/>
          </w:rPr>
          <w:t>Saini v. INS, 64 F. Supp. 2d 923, 928–29 (D. Ariz. 1999)</w:t>
        </w:r>
      </w:hyperlink>
      <w:r>
        <w:rPr>
          <w:rFonts w:ascii="arial" w:eastAsia="arial" w:hAnsi="arial" w:cs="arial"/>
          <w:b w:val="0"/>
          <w:i w:val="0"/>
          <w:strike w:val="0"/>
          <w:noProof w:val="0"/>
          <w:color w:val="000000"/>
          <w:position w:val="0"/>
          <w:sz w:val="18"/>
          <w:u w:val="none"/>
          <w:vertAlign w:val="baseline"/>
        </w:rPr>
        <w:t>.</w:t>
      </w:r>
    </w:p>
  </w:footnote>
  <w:footnote w:id="2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277 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104.04[2][c][iii]</w:t>
        </w:r>
      </w:hyperlink>
      <w:r>
        <w:rPr>
          <w:rFonts w:ascii="arial" w:eastAsia="arial" w:hAnsi="arial" w:cs="arial"/>
          <w:b w:val="0"/>
          <w:i w:val="0"/>
          <w:strike w:val="0"/>
          <w:noProof w:val="0"/>
          <w:color w:val="000000"/>
          <w:position w:val="0"/>
          <w:sz w:val="18"/>
          <w:u w:val="none"/>
          <w:vertAlign w:val="baseline"/>
        </w:rPr>
        <w:t>.</w:t>
      </w:r>
    </w:p>
  </w:footnote>
  <w:footnote w:id="2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278 </w:t>
      </w:r>
      <w:hyperlink r:id="rId394" w:history="1">
        <w:r>
          <w:rPr>
            <w:rFonts w:ascii="arial" w:eastAsia="arial" w:hAnsi="arial" w:cs="arial"/>
            <w:b w:val="0"/>
            <w:i/>
            <w:strike w:val="0"/>
            <w:noProof w:val="0"/>
            <w:color w:val="0077CC"/>
            <w:position w:val="0"/>
            <w:sz w:val="18"/>
            <w:u w:val="single"/>
            <w:shd w:val="clear" w:color="auto" w:fill="FFFFFF"/>
            <w:vertAlign w:val="baseline"/>
          </w:rPr>
          <w:t>M.S.P.C. v. U.S. CBP., 60 F. Supp. 3d 1156, 1165 (D.N.M. 2014)</w:t>
        </w:r>
      </w:hyperlink>
      <w:r>
        <w:rPr>
          <w:rFonts w:ascii="arial" w:eastAsia="arial" w:hAnsi="arial" w:cs="arial"/>
          <w:b w:val="0"/>
          <w:i w:val="0"/>
          <w:strike w:val="0"/>
          <w:noProof w:val="0"/>
          <w:color w:val="000000"/>
          <w:position w:val="0"/>
          <w:sz w:val="18"/>
          <w:u w:val="none"/>
          <w:vertAlign w:val="baseline"/>
        </w:rPr>
        <w:t xml:space="preserve">; </w:t>
      </w:r>
      <w:hyperlink r:id="rId395" w:history="1">
        <w:r>
          <w:rPr>
            <w:rFonts w:ascii="arial" w:eastAsia="arial" w:hAnsi="arial" w:cs="arial"/>
            <w:b w:val="0"/>
            <w:i/>
            <w:strike w:val="0"/>
            <w:noProof w:val="0"/>
            <w:color w:val="0077CC"/>
            <w:position w:val="0"/>
            <w:sz w:val="18"/>
            <w:u w:val="single"/>
            <w:shd w:val="clear" w:color="auto" w:fill="FFFFFF"/>
            <w:vertAlign w:val="baseline"/>
          </w:rPr>
          <w:t>Damian v. Napolitano, 2011 U.S. Dist. LEXIS 46128 (W.D. Mo. Apr. 28, 2011)</w:t>
        </w:r>
      </w:hyperlink>
      <w:r>
        <w:rPr>
          <w:rFonts w:ascii="arial" w:eastAsia="arial" w:hAnsi="arial" w:cs="arial"/>
          <w:b w:val="0"/>
          <w:i w:val="0"/>
          <w:strike w:val="0"/>
          <w:noProof w:val="0"/>
          <w:color w:val="000000"/>
          <w:position w:val="0"/>
          <w:sz w:val="18"/>
          <w:u w:val="none"/>
          <w:vertAlign w:val="baseline"/>
        </w:rPr>
        <w:t xml:space="preserve">; </w:t>
      </w:r>
      <w:hyperlink r:id="rId396" w:history="1">
        <w:r>
          <w:rPr>
            <w:rFonts w:ascii="arial" w:eastAsia="arial" w:hAnsi="arial" w:cs="arial"/>
            <w:b w:val="0"/>
            <w:i/>
            <w:strike w:val="0"/>
            <w:noProof w:val="0"/>
            <w:color w:val="0077CC"/>
            <w:position w:val="0"/>
            <w:sz w:val="18"/>
            <w:u w:val="single"/>
            <w:shd w:val="clear" w:color="auto" w:fill="FFFFFF"/>
            <w:vertAlign w:val="baseline"/>
          </w:rPr>
          <w:t>Lage v. Chapdelaine, 2010 U.S. Dist. LEXIS 119352 (D. Conn. Nov. 10, 2010)</w:t>
        </w:r>
      </w:hyperlink>
      <w:r>
        <w:rPr>
          <w:rFonts w:ascii="arial" w:eastAsia="arial" w:hAnsi="arial" w:cs="arial"/>
          <w:b w:val="0"/>
          <w:i w:val="0"/>
          <w:strike w:val="0"/>
          <w:noProof w:val="0"/>
          <w:color w:val="000000"/>
          <w:position w:val="0"/>
          <w:sz w:val="18"/>
          <w:u w:val="none"/>
          <w:vertAlign w:val="baseline"/>
        </w:rPr>
        <w:t xml:space="preserve">; </w:t>
      </w:r>
      <w:hyperlink r:id="rId397" w:history="1">
        <w:r>
          <w:rPr>
            <w:rFonts w:ascii="arial" w:eastAsia="arial" w:hAnsi="arial" w:cs="arial"/>
            <w:b w:val="0"/>
            <w:i/>
            <w:strike w:val="0"/>
            <w:noProof w:val="0"/>
            <w:color w:val="0077CC"/>
            <w:position w:val="0"/>
            <w:sz w:val="18"/>
            <w:u w:val="single"/>
            <w:shd w:val="clear" w:color="auto" w:fill="FFFFFF"/>
            <w:vertAlign w:val="baseline"/>
          </w:rPr>
          <w:t>Scott v. Napolitano, 618 F. Supp. 2d 186 (E.D.N.Y. 2009)</w:t>
        </w:r>
      </w:hyperlink>
      <w:r>
        <w:rPr>
          <w:rFonts w:ascii="arial" w:eastAsia="arial" w:hAnsi="arial" w:cs="arial"/>
          <w:b w:val="0"/>
          <w:i w:val="0"/>
          <w:strike w:val="0"/>
          <w:noProof w:val="0"/>
          <w:color w:val="000000"/>
          <w:position w:val="0"/>
          <w:sz w:val="18"/>
          <w:u w:val="none"/>
          <w:vertAlign w:val="baseline"/>
        </w:rPr>
        <w:t xml:space="preserve">; Tejada v. Cabral, 424 F. Supp. 2d (D. Mass. 2006); </w:t>
      </w:r>
      <w:hyperlink r:id="rId398" w:history="1">
        <w:r>
          <w:rPr>
            <w:rFonts w:ascii="arial" w:eastAsia="arial" w:hAnsi="arial" w:cs="arial"/>
            <w:b w:val="0"/>
            <w:i/>
            <w:strike w:val="0"/>
            <w:noProof w:val="0"/>
            <w:color w:val="0077CC"/>
            <w:position w:val="0"/>
            <w:sz w:val="18"/>
            <w:u w:val="single"/>
            <w:shd w:val="clear" w:color="auto" w:fill="FFFFFF"/>
            <w:vertAlign w:val="baseline"/>
          </w:rPr>
          <w:t>Santos v. Payant, 2005 U.S. Dist. LEXIS 11964 (S.D.N.Y. 2005)</w:t>
        </w:r>
      </w:hyperlink>
      <w:r>
        <w:rPr>
          <w:rFonts w:ascii="arial" w:eastAsia="arial" w:hAnsi="arial" w:cs="arial"/>
          <w:b w:val="0"/>
          <w:i w:val="0"/>
          <w:strike w:val="0"/>
          <w:noProof w:val="0"/>
          <w:color w:val="000000"/>
          <w:position w:val="0"/>
          <w:sz w:val="18"/>
          <w:u w:val="none"/>
          <w:vertAlign w:val="baseline"/>
        </w:rPr>
        <w:t>.</w:t>
      </w:r>
    </w:p>
  </w:footnote>
  <w:footnote w:id="27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279 </w:t>
      </w:r>
      <w:hyperlink r:id="rId399" w:history="1">
        <w:r>
          <w:rPr>
            <w:rFonts w:ascii="arial" w:eastAsia="arial" w:hAnsi="arial" w:cs="arial"/>
            <w:b w:val="0"/>
            <w:i/>
            <w:strike w:val="0"/>
            <w:noProof w:val="0"/>
            <w:color w:val="0077CC"/>
            <w:position w:val="0"/>
            <w:sz w:val="18"/>
            <w:u w:val="single"/>
            <w:shd w:val="clear" w:color="auto" w:fill="FFFFFF"/>
            <w:vertAlign w:val="baseline"/>
          </w:rPr>
          <w:t>28 U.S.C. § 2253(a)</w:t>
        </w:r>
      </w:hyperlink>
      <w:r>
        <w:rPr>
          <w:rFonts w:ascii="arial" w:eastAsia="arial" w:hAnsi="arial" w:cs="arial"/>
          <w:b w:val="0"/>
          <w:i w:val="0"/>
          <w:strike w:val="0"/>
          <w:noProof w:val="0"/>
          <w:color w:val="000000"/>
          <w:position w:val="0"/>
          <w:sz w:val="18"/>
          <w:u w:val="none"/>
          <w:vertAlign w:val="baseline"/>
        </w:rPr>
        <w:t xml:space="preserve">, which states in pertinent part: “In a </w:t>
      </w:r>
      <w:r>
        <w:rPr>
          <w:rFonts w:ascii="arial" w:eastAsia="arial" w:hAnsi="arial" w:cs="arial"/>
          <w:b/>
          <w:i/>
          <w:strike w:val="0"/>
          <w:noProof w:val="0"/>
          <w:color w:val="000000"/>
          <w:position w:val="0"/>
          <w:sz w:val="18"/>
          <w:u w:val="single"/>
          <w:vertAlign w:val="baseline"/>
        </w:rPr>
        <w:t>habeas</w:t>
      </w:r>
      <w:r>
        <w:rPr>
          <w:rFonts w:ascii="arial" w:eastAsia="arial" w:hAnsi="arial" w:cs="arial"/>
          <w:b w:val="0"/>
          <w:i w:val="0"/>
          <w:strike w:val="0"/>
          <w:noProof w:val="0"/>
          <w:color w:val="000000"/>
          <w:position w:val="0"/>
          <w:sz w:val="18"/>
          <w:u w:val="none"/>
          <w:vertAlign w:val="baseline"/>
        </w:rPr>
        <w:t xml:space="preserve"> corpus proceeding or a proceeding under section 2255 before a district judge, the final order shall be subject to review, on appeal, by the court of appeals for the circuit in which the proceeding is held.”</w:t>
      </w:r>
    </w:p>
  </w:footnote>
  <w:footnote w:id="2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280 </w:t>
      </w:r>
      <w:r>
        <w:rPr>
          <w:rFonts w:ascii="arial" w:eastAsia="arial" w:hAnsi="arial" w:cs="arial"/>
          <w:b w:val="0"/>
          <w:i w:val="0"/>
          <w:strike w:val="0"/>
          <w:noProof w:val="0"/>
          <w:color w:val="000000"/>
          <w:position w:val="0"/>
          <w:sz w:val="18"/>
          <w:u w:val="none"/>
          <w:vertAlign w:val="baseline"/>
        </w:rPr>
        <w:t xml:space="preserve">For the text of </w:t>
      </w:r>
      <w:hyperlink r:id="rId399" w:history="1">
        <w:r>
          <w:rPr>
            <w:rFonts w:ascii="arial" w:eastAsia="arial" w:hAnsi="arial" w:cs="arial"/>
            <w:b w:val="0"/>
            <w:i/>
            <w:strike w:val="0"/>
            <w:noProof w:val="0"/>
            <w:color w:val="0077CC"/>
            <w:position w:val="0"/>
            <w:sz w:val="18"/>
            <w:u w:val="single"/>
            <w:shd w:val="clear" w:color="auto" w:fill="FFFFFF"/>
            <w:vertAlign w:val="baseline"/>
          </w:rPr>
          <w:t>28 U.S.C. § 2253</w:t>
        </w:r>
      </w:hyperlink>
      <w:r>
        <w:rPr>
          <w:rFonts w:ascii="arial" w:eastAsia="arial" w:hAnsi="arial" w:cs="arial"/>
          <w:b w:val="0"/>
          <w:i w:val="0"/>
          <w:strike w:val="0"/>
          <w:noProof w:val="0"/>
          <w:color w:val="000000"/>
          <w:position w:val="0"/>
          <w:sz w:val="18"/>
          <w:u w:val="none"/>
          <w:vertAlign w:val="baseline"/>
        </w:rPr>
        <w:t xml:space="preserve">, see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w:t>
      </w:r>
      <w:hyperlink r:id="rId400" w:history="1">
        <w:r>
          <w:rPr>
            <w:rFonts w:ascii="arial" w:eastAsia="arial" w:hAnsi="arial" w:cs="arial"/>
            <w:b w:val="0"/>
            <w:i/>
            <w:strike w:val="0"/>
            <w:noProof w:val="0"/>
            <w:color w:val="0077CC"/>
            <w:position w:val="0"/>
            <w:sz w:val="18"/>
            <w:u w:val="single"/>
            <w:shd w:val="clear" w:color="auto" w:fill="FFFFFF"/>
            <w:vertAlign w:val="baseline"/>
          </w:rPr>
          <w:t>28 U.S.C. § 1291</w:t>
        </w:r>
      </w:hyperlink>
      <w:r>
        <w:rPr>
          <w:rFonts w:ascii="arial" w:eastAsia="arial" w:hAnsi="arial" w:cs="arial"/>
          <w:b w:val="0"/>
          <w:i w:val="0"/>
          <w:strike w:val="0"/>
          <w:noProof w:val="0"/>
          <w:color w:val="000000"/>
          <w:position w:val="0"/>
          <w:sz w:val="18"/>
          <w:u w:val="none"/>
          <w:vertAlign w:val="baseline"/>
        </w:rPr>
        <w:t xml:space="preserve"> provides:</w:t>
      </w:r>
    </w:p>
    <w:p>
      <w:pPr>
        <w:keepNext w:val="0"/>
        <w:spacing w:before="120" w:after="0" w:line="240" w:lineRule="atLeast"/>
        <w:ind w:left="400" w:right="0" w:firstLine="240"/>
        <w:jc w:val="both"/>
      </w:pPr>
      <w:r>
        <w:rPr>
          <w:rFonts w:ascii="arial" w:eastAsia="arial" w:hAnsi="arial" w:cs="arial"/>
          <w:b w:val="0"/>
          <w:i w:val="0"/>
          <w:strike w:val="0"/>
          <w:noProof w:val="0"/>
          <w:color w:val="000000"/>
          <w:position w:val="0"/>
          <w:sz w:val="18"/>
          <w:u w:val="none"/>
          <w:vertAlign w:val="baseline"/>
        </w:rPr>
        <w:t>The courts of appeals (other than the United States Court of Appeals for the Federal Circuit) shall have jurisdiction of appeals from all final decisions of the district courts of the United States, the United States District Court for the District of the Canal Zone, the District Court of Guam, and the District Court of the Virgin Islands, except where a direct review may be had in the Supreme Court.</w:t>
      </w:r>
    </w:p>
    <w:p>
      <w:pPr>
        <w:keepNext w:val="0"/>
        <w:spacing w:before="240" w:after="0" w:line="240" w:lineRule="atLeast"/>
        <w:ind w:left="0" w:right="0" w:firstLine="0"/>
        <w:jc w:val="both"/>
      </w:pP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401" w:history="1">
        <w:r>
          <w:rPr>
            <w:rFonts w:ascii="arial" w:eastAsia="arial" w:hAnsi="arial" w:cs="arial"/>
            <w:b w:val="0"/>
            <w:i/>
            <w:strike w:val="0"/>
            <w:noProof w:val="0"/>
            <w:color w:val="0077CC"/>
            <w:position w:val="0"/>
            <w:sz w:val="18"/>
            <w:u w:val="single"/>
            <w:shd w:val="clear" w:color="auto" w:fill="FFFFFF"/>
            <w:vertAlign w:val="baseline"/>
          </w:rPr>
          <w:t>Chi Thon Ngo v. INS, 192 F.3d 390, 393 (3d Cir. 1999)</w:t>
        </w:r>
      </w:hyperlink>
      <w:r>
        <w:rPr>
          <w:rFonts w:ascii="arial" w:eastAsia="arial" w:hAnsi="arial" w:cs="arial"/>
          <w:b w:val="0"/>
          <w:i w:val="0"/>
          <w:strike w:val="0"/>
          <w:noProof w:val="0"/>
          <w:color w:val="000000"/>
          <w:position w:val="0"/>
          <w:sz w:val="18"/>
          <w:u w:val="none"/>
          <w:vertAlign w:val="baseline"/>
        </w:rPr>
        <w:t>.</w:t>
      </w:r>
    </w:p>
  </w:footnote>
  <w:footnote w:id="28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281 </w:t>
      </w:r>
      <w:hyperlink r:id="rId402" w:history="1">
        <w:r>
          <w:rPr>
            <w:rFonts w:ascii="arial" w:eastAsia="arial" w:hAnsi="arial" w:cs="arial"/>
            <w:b w:val="0"/>
            <w:i/>
            <w:strike w:val="0"/>
            <w:noProof w:val="0"/>
            <w:color w:val="0077CC"/>
            <w:position w:val="0"/>
            <w:sz w:val="18"/>
            <w:u w:val="single"/>
            <w:shd w:val="clear" w:color="auto" w:fill="FFFFFF"/>
            <w:vertAlign w:val="baseline"/>
          </w:rPr>
          <w:t>Kuhali v. Reno, 266 F.3d 93, 99 (2d Cir. 2001)</w:t>
        </w:r>
      </w:hyperlink>
      <w:r>
        <w:rPr>
          <w:rFonts w:ascii="arial" w:eastAsia="arial" w:hAnsi="arial" w:cs="arial"/>
          <w:b w:val="0"/>
          <w:i w:val="0"/>
          <w:strike w:val="0"/>
          <w:noProof w:val="0"/>
          <w:color w:val="000000"/>
          <w:position w:val="0"/>
          <w:sz w:val="18"/>
          <w:u w:val="none"/>
          <w:vertAlign w:val="baseline"/>
        </w:rPr>
        <w:t xml:space="preserve">; </w:t>
      </w:r>
      <w:hyperlink r:id="rId390" w:history="1">
        <w:r>
          <w:rPr>
            <w:rFonts w:ascii="arial" w:eastAsia="arial" w:hAnsi="arial" w:cs="arial"/>
            <w:b w:val="0"/>
            <w:i/>
            <w:strike w:val="0"/>
            <w:noProof w:val="0"/>
            <w:color w:val="0077CC"/>
            <w:position w:val="0"/>
            <w:sz w:val="18"/>
            <w:u w:val="single"/>
            <w:shd w:val="clear" w:color="auto" w:fill="FFFFFF"/>
            <w:vertAlign w:val="baseline"/>
          </w:rPr>
          <w:t>Haio v. Jenifer, 199 F.3d 302, 304 (6th Cir. 1999)</w:t>
        </w:r>
      </w:hyperlink>
      <w:r>
        <w:rPr>
          <w:rFonts w:ascii="arial" w:eastAsia="arial" w:hAnsi="arial" w:cs="arial"/>
          <w:b w:val="0"/>
          <w:i w:val="0"/>
          <w:strike w:val="0"/>
          <w:noProof w:val="0"/>
          <w:color w:val="000000"/>
          <w:position w:val="0"/>
          <w:sz w:val="18"/>
          <w:u w:val="none"/>
          <w:vertAlign w:val="baseline"/>
        </w:rPr>
        <w:t xml:space="preserve">; </w:t>
      </w:r>
      <w:hyperlink r:id="rId401" w:history="1">
        <w:r>
          <w:rPr>
            <w:rFonts w:ascii="arial" w:eastAsia="arial" w:hAnsi="arial" w:cs="arial"/>
            <w:b w:val="0"/>
            <w:i/>
            <w:strike w:val="0"/>
            <w:noProof w:val="0"/>
            <w:color w:val="0077CC"/>
            <w:position w:val="0"/>
            <w:sz w:val="18"/>
            <w:u w:val="single"/>
            <w:shd w:val="clear" w:color="auto" w:fill="FFFFFF"/>
            <w:vertAlign w:val="baseline"/>
          </w:rPr>
          <w:t>Chi Thon Ngo v. INS, 192 F.3d 390, 393 (3d Cir. 1999)</w:t>
        </w:r>
      </w:hyperlink>
      <w:r>
        <w:rPr>
          <w:rFonts w:ascii="arial" w:eastAsia="arial" w:hAnsi="arial" w:cs="arial"/>
          <w:b w:val="0"/>
          <w:i w:val="0"/>
          <w:strike w:val="0"/>
          <w:noProof w:val="0"/>
          <w:color w:val="000000"/>
          <w:position w:val="0"/>
          <w:sz w:val="18"/>
          <w:u w:val="none"/>
          <w:vertAlign w:val="baseline"/>
        </w:rPr>
        <w:t xml:space="preserve"> (citing </w:t>
      </w:r>
      <w:hyperlink r:id="rId403" w:history="1">
        <w:r>
          <w:rPr>
            <w:rFonts w:ascii="arial" w:eastAsia="arial" w:hAnsi="arial" w:cs="arial"/>
            <w:b w:val="0"/>
            <w:i/>
            <w:strike w:val="0"/>
            <w:noProof w:val="0"/>
            <w:color w:val="0077CC"/>
            <w:position w:val="0"/>
            <w:sz w:val="18"/>
            <w:u w:val="single"/>
            <w:shd w:val="clear" w:color="auto" w:fill="FFFFFF"/>
            <w:vertAlign w:val="baseline"/>
          </w:rPr>
          <w:t>Yang v. Maugans, 68 F.3d 1540, 1546 (3d Cir. 1995))</w:t>
        </w:r>
      </w:hyperlink>
      <w:r>
        <w:rPr>
          <w:rFonts w:ascii="arial" w:eastAsia="arial" w:hAnsi="arial" w:cs="arial"/>
          <w:b w:val="0"/>
          <w:i w:val="0"/>
          <w:strike w:val="0"/>
          <w:noProof w:val="0"/>
          <w:color w:val="000000"/>
          <w:position w:val="0"/>
          <w:sz w:val="18"/>
          <w:u w:val="none"/>
          <w:vertAlign w:val="baseline"/>
        </w:rPr>
        <w:t xml:space="preserve">; </w:t>
      </w:r>
      <w:hyperlink r:id="rId221" w:history="1">
        <w:r>
          <w:rPr>
            <w:rFonts w:ascii="arial" w:eastAsia="arial" w:hAnsi="arial" w:cs="arial"/>
            <w:b w:val="0"/>
            <w:i/>
            <w:strike w:val="0"/>
            <w:noProof w:val="0"/>
            <w:color w:val="0077CC"/>
            <w:position w:val="0"/>
            <w:sz w:val="18"/>
            <w:u w:val="single"/>
            <w:shd w:val="clear" w:color="auto" w:fill="FFFFFF"/>
            <w:vertAlign w:val="baseline"/>
          </w:rPr>
          <w:t>Nakaranurack v. United States, 68 F.3d 290, 293 (9th Cir. 1995)</w:t>
        </w:r>
      </w:hyperlink>
      <w:r>
        <w:rPr>
          <w:rFonts w:ascii="arial" w:eastAsia="arial" w:hAnsi="arial" w:cs="arial"/>
          <w:b w:val="0"/>
          <w:i w:val="0"/>
          <w:strike w:val="0"/>
          <w:noProof w:val="0"/>
          <w:color w:val="000000"/>
          <w:position w:val="0"/>
          <w:sz w:val="18"/>
          <w:u w:val="none"/>
          <w:vertAlign w:val="baseline"/>
        </w:rPr>
        <w:t>.</w:t>
      </w:r>
    </w:p>
  </w:footnote>
  <w:footnote w:id="28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282 </w:t>
      </w:r>
      <w:hyperlink r:id="rId46" w:history="1">
        <w:r>
          <w:rPr>
            <w:rFonts w:ascii="arial" w:eastAsia="arial" w:hAnsi="arial" w:cs="arial"/>
            <w:b w:val="0"/>
            <w:i/>
            <w:strike w:val="0"/>
            <w:noProof w:val="0"/>
            <w:color w:val="0077CC"/>
            <w:position w:val="0"/>
            <w:sz w:val="18"/>
            <w:u w:val="single"/>
            <w:shd w:val="clear" w:color="auto" w:fill="FFFFFF"/>
            <w:vertAlign w:val="baseline"/>
          </w:rPr>
          <w:t>Pierre v. Rivkind, 825 F.2d 1501, 1504 (11th Cir. 1987)</w:t>
        </w:r>
      </w:hyperlink>
      <w:r>
        <w:rPr>
          <w:rFonts w:ascii="arial" w:eastAsia="arial" w:hAnsi="arial" w:cs="arial"/>
          <w:b w:val="0"/>
          <w:i w:val="0"/>
          <w:strike w:val="0"/>
          <w:noProof w:val="0"/>
          <w:color w:val="000000"/>
          <w:position w:val="0"/>
          <w:sz w:val="18"/>
          <w:u w:val="none"/>
          <w:vertAlign w:val="baseline"/>
        </w:rPr>
        <w:t>.</w:t>
      </w:r>
    </w:p>
  </w:footnote>
  <w:footnote w:id="28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283 </w:t>
      </w:r>
      <w:hyperlink r:id="rId404" w:history="1">
        <w:r>
          <w:rPr>
            <w:rFonts w:ascii="arial" w:eastAsia="arial" w:hAnsi="arial" w:cs="arial"/>
            <w:b w:val="0"/>
            <w:i/>
            <w:strike w:val="0"/>
            <w:noProof w:val="0"/>
            <w:color w:val="0077CC"/>
            <w:position w:val="0"/>
            <w:sz w:val="18"/>
            <w:u w:val="single"/>
            <w:shd w:val="clear" w:color="auto" w:fill="FFFFFF"/>
            <w:vertAlign w:val="baseline"/>
          </w:rPr>
          <w:t>Bermudez v. Smith, 797 F.2d 108 (2d Cir. 1986)</w:t>
        </w:r>
      </w:hyperlink>
      <w:r>
        <w:rPr>
          <w:rFonts w:ascii="arial" w:eastAsia="arial" w:hAnsi="arial" w:cs="arial"/>
          <w:b w:val="0"/>
          <w:i w:val="0"/>
          <w:strike w:val="0"/>
          <w:noProof w:val="0"/>
          <w:color w:val="000000"/>
          <w:position w:val="0"/>
          <w:sz w:val="18"/>
          <w:u w:val="none"/>
          <w:vertAlign w:val="baseline"/>
        </w:rPr>
        <w:t>.</w:t>
      </w:r>
    </w:p>
  </w:footnote>
  <w:footnote w:id="2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284 </w:t>
      </w:r>
      <w:hyperlink r:id="rId405" w:history="1">
        <w:r>
          <w:rPr>
            <w:rFonts w:ascii="arial" w:eastAsia="arial" w:hAnsi="arial" w:cs="arial"/>
            <w:b w:val="0"/>
            <w:i/>
            <w:strike w:val="0"/>
            <w:noProof w:val="0"/>
            <w:color w:val="0077CC"/>
            <w:position w:val="0"/>
            <w:sz w:val="18"/>
            <w:u w:val="single"/>
            <w:shd w:val="clear" w:color="auto" w:fill="FFFFFF"/>
            <w:vertAlign w:val="baseline"/>
          </w:rPr>
          <w:t>Dobard v. Johnson, 749 F.2d 1503 (11th Cir. 1985)</w:t>
        </w:r>
      </w:hyperlink>
      <w:r>
        <w:rPr>
          <w:rFonts w:ascii="arial" w:eastAsia="arial" w:hAnsi="arial" w:cs="arial"/>
          <w:b w:val="0"/>
          <w:i w:val="0"/>
          <w:strike w:val="0"/>
          <w:noProof w:val="0"/>
          <w:color w:val="000000"/>
          <w:position w:val="0"/>
          <w:sz w:val="18"/>
          <w:u w:val="none"/>
          <w:vertAlign w:val="baseline"/>
        </w:rPr>
        <w:t>.</w:t>
      </w:r>
    </w:p>
  </w:footnote>
  <w:footnote w:id="2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285 </w:t>
      </w:r>
      <w:hyperlink r:id="rId406" w:history="1">
        <w:r>
          <w:rPr>
            <w:rFonts w:ascii="arial" w:eastAsia="arial" w:hAnsi="arial" w:cs="arial"/>
            <w:b w:val="0"/>
            <w:i/>
            <w:strike w:val="0"/>
            <w:noProof w:val="0"/>
            <w:color w:val="0077CC"/>
            <w:position w:val="0"/>
            <w:sz w:val="18"/>
            <w:u w:val="single"/>
            <w:shd w:val="clear" w:color="auto" w:fill="FFFFFF"/>
            <w:vertAlign w:val="baseline"/>
          </w:rPr>
          <w:t>Grune v. Coughlin, 913 F.2d 41 (2d Cir. 1990)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407" w:history="1">
        <w:r>
          <w:rPr>
            <w:rFonts w:ascii="arial" w:eastAsia="arial" w:hAnsi="arial" w:cs="arial"/>
            <w:b w:val="0"/>
            <w:i/>
            <w:strike w:val="0"/>
            <w:noProof w:val="0"/>
            <w:color w:val="0077CC"/>
            <w:position w:val="0"/>
            <w:sz w:val="18"/>
            <w:u w:val="single"/>
            <w:shd w:val="clear" w:color="auto" w:fill="FFFFFF"/>
            <w:vertAlign w:val="baseline"/>
          </w:rPr>
          <w:t>Mapp v. Reno, 241 F.3d 221 (2d Cir. 2001)</w:t>
        </w:r>
      </w:hyperlink>
      <w:r>
        <w:rPr>
          <w:rFonts w:ascii="arial" w:eastAsia="arial" w:hAnsi="arial" w:cs="arial"/>
          <w:b w:val="0"/>
          <w:i w:val="0"/>
          <w:strike w:val="0"/>
          <w:noProof w:val="0"/>
          <w:color w:val="000000"/>
          <w:position w:val="0"/>
          <w:sz w:val="18"/>
          <w:u w:val="none"/>
          <w:vertAlign w:val="baseline"/>
        </w:rPr>
        <w:t>.</w:t>
      </w:r>
    </w:p>
  </w:footnote>
  <w:footnote w:id="2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286 </w:t>
      </w:r>
      <w:hyperlink r:id="rId408" w:history="1">
        <w:r>
          <w:rPr>
            <w:rFonts w:ascii="arial" w:eastAsia="arial" w:hAnsi="arial" w:cs="arial"/>
            <w:b w:val="0"/>
            <w:i/>
            <w:strike w:val="0"/>
            <w:noProof w:val="0"/>
            <w:color w:val="0077CC"/>
            <w:position w:val="0"/>
            <w:sz w:val="18"/>
            <w:u w:val="single"/>
            <w:shd w:val="clear" w:color="auto" w:fill="FFFFFF"/>
            <w:vertAlign w:val="baseline"/>
          </w:rPr>
          <w:t>Virgin Islands v. Leycock, 678 F.2d 467 (3d Cir. 1982)</w:t>
        </w:r>
      </w:hyperlink>
      <w:r>
        <w:rPr>
          <w:rFonts w:ascii="arial" w:eastAsia="arial" w:hAnsi="arial" w:cs="arial"/>
          <w:b w:val="0"/>
          <w:i w:val="0"/>
          <w:strike w:val="0"/>
          <w:noProof w:val="0"/>
          <w:color w:val="000000"/>
          <w:position w:val="0"/>
          <w:sz w:val="18"/>
          <w:u w:val="none"/>
          <w:vertAlign w:val="baseline"/>
        </w:rPr>
        <w:t>.</w:t>
      </w:r>
    </w:p>
  </w:footnote>
  <w:footnote w:id="2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287 </w:t>
      </w:r>
      <w:hyperlink r:id="rId409" w:history="1">
        <w:r>
          <w:rPr>
            <w:rFonts w:ascii="arial" w:eastAsia="arial" w:hAnsi="arial" w:cs="arial"/>
            <w:b w:val="0"/>
            <w:i/>
            <w:strike w:val="0"/>
            <w:noProof w:val="0"/>
            <w:color w:val="0077CC"/>
            <w:position w:val="0"/>
            <w:sz w:val="18"/>
            <w:u w:val="single"/>
            <w:shd w:val="clear" w:color="auto" w:fill="FFFFFF"/>
            <w:vertAlign w:val="baseline"/>
          </w:rPr>
          <w:t>Wilson v. Kemp, 777 F.2d 621 (11th Cir. 1985)</w:t>
        </w:r>
      </w:hyperlink>
      <w:r>
        <w:rPr>
          <w:rFonts w:ascii="arial" w:eastAsia="arial" w:hAnsi="arial" w:cs="arial"/>
          <w:b w:val="0"/>
          <w:i w:val="0"/>
          <w:strike w:val="0"/>
          <w:noProof w:val="0"/>
          <w:color w:val="000000"/>
          <w:position w:val="0"/>
          <w:sz w:val="18"/>
          <w:u w:val="none"/>
          <w:vertAlign w:val="baseline"/>
        </w:rPr>
        <w:t>.</w:t>
      </w:r>
    </w:p>
  </w:footnote>
  <w:footnote w:id="2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288 </w:t>
      </w:r>
      <w:hyperlink r:id="rId410" w:history="1">
        <w:r>
          <w:rPr>
            <w:rFonts w:ascii="arial" w:eastAsia="arial" w:hAnsi="arial" w:cs="arial"/>
            <w:b w:val="0"/>
            <w:i/>
            <w:strike w:val="0"/>
            <w:noProof w:val="0"/>
            <w:color w:val="0077CC"/>
            <w:position w:val="0"/>
            <w:sz w:val="18"/>
            <w:u w:val="single"/>
            <w:shd w:val="clear" w:color="auto" w:fill="FFFFFF"/>
            <w:vertAlign w:val="baseline"/>
          </w:rPr>
          <w:t>Mathis v. Zant, 903 F.2d 1368 (11th Cir. 1990)</w:t>
        </w:r>
      </w:hyperlink>
      <w:r>
        <w:rPr>
          <w:rFonts w:ascii="arial" w:eastAsia="arial" w:hAnsi="arial" w:cs="arial"/>
          <w:b w:val="0"/>
          <w:i w:val="0"/>
          <w:strike w:val="0"/>
          <w:noProof w:val="0"/>
          <w:color w:val="000000"/>
          <w:position w:val="0"/>
          <w:sz w:val="18"/>
          <w:u w:val="none"/>
          <w:vertAlign w:val="baseline"/>
        </w:rPr>
        <w:t>.</w:t>
      </w:r>
    </w:p>
  </w:footnote>
  <w:footnote w:id="2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289 </w:t>
      </w:r>
      <w:hyperlink r:id="rId411" w:history="1">
        <w:r>
          <w:rPr>
            <w:rFonts w:ascii="arial" w:eastAsia="arial" w:hAnsi="arial" w:cs="arial"/>
            <w:b w:val="0"/>
            <w:i/>
            <w:strike w:val="0"/>
            <w:noProof w:val="0"/>
            <w:color w:val="0077CC"/>
            <w:position w:val="0"/>
            <w:sz w:val="18"/>
            <w:u w:val="single"/>
            <w:shd w:val="clear" w:color="auto" w:fill="FFFFFF"/>
            <w:vertAlign w:val="baseline"/>
          </w:rPr>
          <w:t>Martin v. Solem, 801 F.2d 324 (8th Cir. 1986)</w:t>
        </w:r>
      </w:hyperlink>
      <w:r>
        <w:rPr>
          <w:rFonts w:ascii="arial" w:eastAsia="arial" w:hAnsi="arial" w:cs="arial"/>
          <w:b w:val="0"/>
          <w:i w:val="0"/>
          <w:strike w:val="0"/>
          <w:noProof w:val="0"/>
          <w:color w:val="000000"/>
          <w:position w:val="0"/>
          <w:sz w:val="18"/>
          <w:u w:val="none"/>
          <w:vertAlign w:val="baseline"/>
        </w:rPr>
        <w:t>.</w:t>
      </w:r>
    </w:p>
  </w:footnote>
  <w:footnote w:id="29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290 </w:t>
      </w:r>
      <w:hyperlink r:id="rId412" w:history="1">
        <w:r>
          <w:rPr>
            <w:rFonts w:ascii="arial" w:eastAsia="arial" w:hAnsi="arial" w:cs="arial"/>
            <w:b w:val="0"/>
            <w:i/>
            <w:strike w:val="0"/>
            <w:noProof w:val="0"/>
            <w:color w:val="0077CC"/>
            <w:position w:val="0"/>
            <w:sz w:val="18"/>
            <w:u w:val="single"/>
            <w:shd w:val="clear" w:color="auto" w:fill="FFFFFF"/>
            <w:vertAlign w:val="baseline"/>
          </w:rPr>
          <w:t>Jackson v. Vasquez, 1 F.3d 885 (9th Cir. 1993)</w:t>
        </w:r>
      </w:hyperlink>
      <w:r>
        <w:rPr>
          <w:rFonts w:ascii="arial" w:eastAsia="arial" w:hAnsi="arial" w:cs="arial"/>
          <w:b w:val="0"/>
          <w:i w:val="0"/>
          <w:strike w:val="0"/>
          <w:noProof w:val="0"/>
          <w:color w:val="000000"/>
          <w:position w:val="0"/>
          <w:sz w:val="18"/>
          <w:u w:val="none"/>
          <w:vertAlign w:val="baseline"/>
        </w:rPr>
        <w:t>.</w:t>
      </w:r>
    </w:p>
  </w:footnote>
  <w:footnote w:id="29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291 </w:t>
      </w:r>
      <w:hyperlink r:id="rId413" w:history="1">
        <w:r>
          <w:rPr>
            <w:rFonts w:ascii="arial" w:eastAsia="arial" w:hAnsi="arial" w:cs="arial"/>
            <w:b w:val="0"/>
            <w:i/>
            <w:strike w:val="0"/>
            <w:noProof w:val="0"/>
            <w:color w:val="0077CC"/>
            <w:position w:val="0"/>
            <w:sz w:val="18"/>
            <w:u w:val="single"/>
            <w:shd w:val="clear" w:color="auto" w:fill="FFFFFF"/>
            <w:vertAlign w:val="baseline"/>
          </w:rPr>
          <w:t>Carmichael v. White, 163 F.3d 1044 (8th Cir. 1998)</w:t>
        </w:r>
      </w:hyperlink>
      <w:r>
        <w:rPr>
          <w:rFonts w:ascii="arial" w:eastAsia="arial" w:hAnsi="arial" w:cs="arial"/>
          <w:b w:val="0"/>
          <w:i w:val="0"/>
          <w:strike w:val="0"/>
          <w:noProof w:val="0"/>
          <w:color w:val="000000"/>
          <w:position w:val="0"/>
          <w:sz w:val="18"/>
          <w:u w:val="none"/>
          <w:vertAlign w:val="baseline"/>
        </w:rPr>
        <w:t xml:space="preserve">. For more regarding exhaustion of administrative remedies in the judicial-review context, 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367" w:history="1">
        <w:r>
          <w:rPr>
            <w:rFonts w:ascii="arial" w:eastAsia="arial" w:hAnsi="arial" w:cs="arial"/>
            <w:b w:val="0"/>
            <w:i/>
            <w:strike w:val="0"/>
            <w:noProof w:val="0"/>
            <w:color w:val="0077CC"/>
            <w:position w:val="0"/>
            <w:sz w:val="18"/>
            <w:u w:val="single"/>
            <w:shd w:val="clear" w:color="auto" w:fill="FFFFFF"/>
            <w:vertAlign w:val="baseline"/>
          </w:rPr>
          <w:t>§ 104.02</w:t>
        </w:r>
      </w:hyperlink>
      <w:r>
        <w:rPr>
          <w:rFonts w:ascii="arial" w:eastAsia="arial" w:hAnsi="arial" w:cs="arial"/>
          <w:b w:val="0"/>
          <w:i w:val="0"/>
          <w:strike w:val="0"/>
          <w:noProof w:val="0"/>
          <w:color w:val="000000"/>
          <w:position w:val="0"/>
          <w:sz w:val="18"/>
          <w:u w:val="none"/>
          <w:vertAlign w:val="baseline"/>
        </w:rPr>
        <w:t xml:space="preserve"> and </w:t>
      </w:r>
      <w:hyperlink r:id="rId19" w:history="1">
        <w:r>
          <w:rPr>
            <w:rFonts w:ascii="arial" w:eastAsia="arial" w:hAnsi="arial" w:cs="arial"/>
            <w:b w:val="0"/>
            <w:i/>
            <w:strike w:val="0"/>
            <w:noProof w:val="0"/>
            <w:color w:val="0077CC"/>
            <w:position w:val="0"/>
            <w:sz w:val="18"/>
            <w:u w:val="single"/>
            <w:shd w:val="clear" w:color="auto" w:fill="FFFFFF"/>
            <w:vertAlign w:val="baseline"/>
          </w:rPr>
          <w:t>§ 104.04[6]</w:t>
        </w:r>
      </w:hyperlink>
      <w:r>
        <w:rPr>
          <w:rFonts w:ascii="arial" w:eastAsia="arial" w:hAnsi="arial" w:cs="arial"/>
          <w:b w:val="0"/>
          <w:i w:val="0"/>
          <w:strike w:val="0"/>
          <w:noProof w:val="0"/>
          <w:color w:val="000000"/>
          <w:position w:val="0"/>
          <w:sz w:val="18"/>
          <w:u w:val="none"/>
          <w:vertAlign w:val="baseline"/>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8 Immigration Law and Procedure § 104.04</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00000002"/>
    <w:lvl w:ilvl="0">
      <w:start w:val="1"/>
      <w:numFmt w:val="decimal"/>
      <w:lvlText w:val="[2]"/>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00000003"/>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4"/>
    <w:multiLevelType w:val="multilevel"/>
    <w:tmpl w:val="00000004"/>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multilevel"/>
    <w:tmpl w:val="00000005"/>
    <w:lvl w:ilvl="0">
      <w:start w:val="1"/>
      <w:numFmt w:val="lowerLetter"/>
      <w:lvlText w:val="(%1)"/>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multilevel"/>
    <w:tmpl w:val="00000006"/>
    <w:lvl w:ilvl="0">
      <w:start w:val="1"/>
      <w:numFmt w:val="decimal"/>
      <w:lvlText w:val="(%1)"/>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multilevel"/>
    <w:tmpl w:val="00000007"/>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8"/>
    <w:multiLevelType w:val="multilevel"/>
    <w:tmpl w:val="00000008"/>
    <w:lvl w:ilvl="0">
      <w:start w:val="1"/>
      <w:numFmt w:val="decimal"/>
      <w:lvlText w:val="[d]"/>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multilevel"/>
    <w:tmpl w:val="00000009"/>
    <w:lvl w:ilvl="0">
      <w:start w:val="1"/>
      <w:numFmt w:val="decimal"/>
      <w:lvlText w:val="[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multilevel"/>
    <w:tmpl w:val="0000000A"/>
    <w:lvl w:ilvl="0">
      <w:start w:val="1"/>
      <w:numFmt w:val="decimal"/>
      <w:lvlText w:val="[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multilevel"/>
    <w:tmpl w:val="0000000B"/>
    <w:lvl w:ilvl="0">
      <w:start w:val="1"/>
      <w:numFmt w:val="decimal"/>
      <w:lvlText w:val="[e]"/>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C"/>
    <w:multiLevelType w:val="multilevel"/>
    <w:tmpl w:val="0000000C"/>
    <w:lvl w:ilvl="0">
      <w:start w:val="1"/>
      <w:numFmt w:val="decimal"/>
      <w:lvlText w:val="[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0D"/>
    <w:multiLevelType w:val="multilevel"/>
    <w:tmpl w:val="0000000D"/>
    <w:lvl w:ilvl="0">
      <w:start w:val="1"/>
      <w:numFmt w:val="decimal"/>
      <w:lvlText w:val="[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multilevel"/>
    <w:tmpl w:val="0000000E"/>
    <w:lvl w:ilvl="0">
      <w:start w:val="1"/>
      <w:numFmt w:val="decimal"/>
      <w:lvlText w:val="[i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0F"/>
    <w:multiLevelType w:val="multilevel"/>
    <w:tmpl w:val="0000000F"/>
    <w:lvl w:ilvl="0">
      <w:start w:val="1"/>
      <w:numFmt w:val="decimal"/>
      <w:lvlText w:val="[A]"/>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10"/>
    <w:multiLevelType w:val="multilevel"/>
    <w:tmpl w:val="00000010"/>
    <w:lvl w:ilvl="0">
      <w:start w:val="1"/>
      <w:numFmt w:val="decimal"/>
      <w:lvlText w:val="[B]"/>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00000011"/>
    <w:multiLevelType w:val="multilevel"/>
    <w:tmpl w:val="00000011"/>
    <w:lvl w:ilvl="0">
      <w:start w:val="1"/>
      <w:numFmt w:val="decimal"/>
      <w:lvlText w:val="[C]"/>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12"/>
    <w:multiLevelType w:val="multilevel"/>
    <w:tmpl w:val="00000012"/>
    <w:lvl w:ilvl="0">
      <w:start w:val="1"/>
      <w:numFmt w:val="decimal"/>
      <w:lvlText w:val="[D]"/>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00000013"/>
    <w:multiLevelType w:val="multilevel"/>
    <w:tmpl w:val="00000013"/>
    <w:lvl w:ilvl="0">
      <w:start w:val="1"/>
      <w:numFmt w:val="decimal"/>
      <w:lvlText w:val="[E]"/>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00000014"/>
    <w:multiLevelType w:val="multilevel"/>
    <w:tmpl w:val="00000014"/>
    <w:lvl w:ilvl="0">
      <w:start w:val="1"/>
      <w:numFmt w:val="decimal"/>
      <w:lvlText w:val="[3]"/>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00000015"/>
    <w:multiLevelType w:val="multilevel"/>
    <w:tmpl w:val="00000015"/>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00000016"/>
    <w:multiLevelType w:val="multilevel"/>
    <w:tmpl w:val="00000016"/>
    <w:lvl w:ilvl="0">
      <w:start w:val="1"/>
      <w:numFmt w:val="bullet"/>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17"/>
    <w:multiLevelType w:val="multilevel"/>
    <w:tmpl w:val="00000017"/>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0000018"/>
    <w:multiLevelType w:val="multilevel"/>
    <w:tmpl w:val="00000018"/>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00000019"/>
    <w:multiLevelType w:val="multilevel"/>
    <w:tmpl w:val="00000019"/>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0000001A"/>
    <w:multiLevelType w:val="multilevel"/>
    <w:tmpl w:val="0000001A"/>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0000001B"/>
    <w:multiLevelType w:val="multilevel"/>
    <w:tmpl w:val="0000001B"/>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1C"/>
    <w:multiLevelType w:val="multilevel"/>
    <w:tmpl w:val="0000001C"/>
    <w:lvl w:ilvl="0">
      <w:start w:val="1"/>
      <w:numFmt w:val="decimal"/>
      <w:lvlText w:val="[d]"/>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0000001D"/>
    <w:multiLevelType w:val="multilevel"/>
    <w:tmpl w:val="0000001D"/>
    <w:lvl w:ilvl="0">
      <w:start w:val="1"/>
      <w:numFmt w:val="decimal"/>
      <w:lvlText w:val="[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0000001E"/>
    <w:multiLevelType w:val="multilevel"/>
    <w:tmpl w:val="0000001E"/>
    <w:lvl w:ilvl="0">
      <w:start w:val="1"/>
      <w:numFmt w:val="decimal"/>
      <w:lvlText w:val="[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0000001F"/>
    <w:multiLevelType w:val="multilevel"/>
    <w:tmpl w:val="0000001F"/>
    <w:lvl w:ilvl="0">
      <w:start w:val="1"/>
      <w:numFmt w:val="decimal"/>
      <w:lvlText w:val="[i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00000020"/>
    <w:multiLevelType w:val="multilevel"/>
    <w:tmpl w:val="00000020"/>
    <w:lvl w:ilvl="0">
      <w:start w:val="1"/>
      <w:numFmt w:val="decimal"/>
      <w:lvlText w:val="[iv]"/>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00000021"/>
    <w:multiLevelType w:val="multilevel"/>
    <w:tmpl w:val="00000021"/>
    <w:lvl w:ilvl="0">
      <w:start w:val="1"/>
      <w:numFmt w:val="decimal"/>
      <w:lvlText w:val="[v]"/>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00000022"/>
    <w:multiLevelType w:val="multilevel"/>
    <w:tmpl w:val="00000022"/>
    <w:lvl w:ilvl="0">
      <w:start w:val="1"/>
      <w:numFmt w:val="decimal"/>
      <w:lvlText w:val="[4]"/>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00000023"/>
    <w:multiLevelType w:val="multilevel"/>
    <w:tmpl w:val="00000023"/>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00000024"/>
    <w:multiLevelType w:val="multilevel"/>
    <w:tmpl w:val="00000024"/>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00000025"/>
    <w:multiLevelType w:val="multilevel"/>
    <w:tmpl w:val="00000025"/>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00000026"/>
    <w:multiLevelType w:val="multilevel"/>
    <w:tmpl w:val="00000026"/>
    <w:lvl w:ilvl="0">
      <w:start w:val="1"/>
      <w:numFmt w:val="decimal"/>
      <w:lvlText w:val="[5]"/>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00000027"/>
    <w:multiLevelType w:val="multilevel"/>
    <w:tmpl w:val="00000027"/>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00000028"/>
    <w:multiLevelType w:val="multilevel"/>
    <w:tmpl w:val="00000028"/>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00000029"/>
    <w:multiLevelType w:val="multilevel"/>
    <w:tmpl w:val="00000029"/>
    <w:lvl w:ilvl="0">
      <w:start w:val="1"/>
      <w:numFmt w:val="decimal"/>
      <w:lvlText w:val="[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0000002A"/>
    <w:multiLevelType w:val="multilevel"/>
    <w:tmpl w:val="0000002A"/>
    <w:lvl w:ilvl="0">
      <w:start w:val="1"/>
      <w:numFmt w:val="decimal"/>
      <w:lvlText w:val="[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0000002B"/>
    <w:multiLevelType w:val="multilevel"/>
    <w:tmpl w:val="0000002B"/>
    <w:lvl w:ilvl="0">
      <w:start w:val="1"/>
      <w:numFmt w:val="decimal"/>
      <w:lvlText w:val="[i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0000002C"/>
    <w:multiLevelType w:val="multilevel"/>
    <w:tmpl w:val="0000002C"/>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0000002D"/>
    <w:multiLevelType w:val="multilevel"/>
    <w:tmpl w:val="0000002D"/>
    <w:lvl w:ilvl="0">
      <w:start w:val="1"/>
      <w:numFmt w:val="decimal"/>
      <w:lvlText w:val="[d]"/>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0000002E"/>
    <w:multiLevelType w:val="multilevel"/>
    <w:tmpl w:val="0000002E"/>
    <w:lvl w:ilvl="0">
      <w:start w:val="1"/>
      <w:numFmt w:val="bullet"/>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0000002F"/>
    <w:multiLevelType w:val="multilevel"/>
    <w:tmpl w:val="0000002F"/>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00000030"/>
    <w:multiLevelType w:val="multilevel"/>
    <w:tmpl w:val="00000030"/>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00000031"/>
    <w:multiLevelType w:val="multilevel"/>
    <w:tmpl w:val="00000031"/>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00000032"/>
    <w:multiLevelType w:val="multilevel"/>
    <w:tmpl w:val="00000032"/>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00000033"/>
    <w:multiLevelType w:val="multilevel"/>
    <w:tmpl w:val="00000033"/>
    <w:lvl w:ilvl="0">
      <w:start w:val="1"/>
      <w:numFmt w:val="decimal"/>
      <w:lvlText w:val="[6]"/>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00000034"/>
    <w:multiLevelType w:val="multilevel"/>
    <w:tmpl w:val="00000034"/>
    <w:lvl w:ilvl="0">
      <w:start w:val="1"/>
      <w:numFmt w:val="bullet"/>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00000035"/>
    <w:multiLevelType w:val="multilevel"/>
    <w:tmpl w:val="00000035"/>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00000036"/>
    <w:multiLevelType w:val="multilevel"/>
    <w:tmpl w:val="00000036"/>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0000037"/>
    <w:multiLevelType w:val="multilevel"/>
    <w:tmpl w:val="00000037"/>
    <w:lvl w:ilvl="0">
      <w:start w:val="1"/>
      <w:numFmt w:val="decimal"/>
      <w:lvlText w:val="[7]"/>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00000038"/>
    <w:multiLevelType w:val="multilevel"/>
    <w:tmpl w:val="00000038"/>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00000039"/>
    <w:multiLevelType w:val="multilevel"/>
    <w:tmpl w:val="00000039"/>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0000003A"/>
    <w:multiLevelType w:val="multilevel"/>
    <w:tmpl w:val="0000003A"/>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0000003B"/>
    <w:multiLevelType w:val="multilevel"/>
    <w:tmpl w:val="0000003B"/>
    <w:lvl w:ilvl="0">
      <w:start w:val="1"/>
      <w:numFmt w:val="decimal"/>
      <w:lvlText w:val="[d]"/>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0000003C"/>
    <w:multiLevelType w:val="multilevel"/>
    <w:tmpl w:val="0000003C"/>
    <w:lvl w:ilvl="0">
      <w:start w:val="1"/>
      <w:numFmt w:val="decimal"/>
      <w:lvlText w:val="[e]"/>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0000003D"/>
    <w:multiLevelType w:val="multilevel"/>
    <w:tmpl w:val="0000003D"/>
    <w:lvl w:ilvl="0">
      <w:start w:val="1"/>
      <w:numFmt w:val="decimal"/>
      <w:lvlText w:val="[8]"/>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0000003E"/>
    <w:multiLevelType w:val="multilevel"/>
    <w:tmpl w:val="0000003E"/>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0000003F"/>
    <w:multiLevelType w:val="multilevel"/>
    <w:tmpl w:val="0000003F"/>
    <w:lvl w:ilvl="0">
      <w:start w:val="1"/>
      <w:numFmt w:val="bullet"/>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00000040"/>
    <w:multiLevelType w:val="multilevel"/>
    <w:tmpl w:val="00000040"/>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00000041"/>
    <w:multiLevelType w:val="multilevel"/>
    <w:tmpl w:val="00000041"/>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00000042"/>
    <w:multiLevelType w:val="multilevel"/>
    <w:tmpl w:val="00000042"/>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00000043"/>
    <w:multiLevelType w:val="multilevel"/>
    <w:tmpl w:val="00000043"/>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00000044"/>
    <w:multiLevelType w:val="multilevel"/>
    <w:tmpl w:val="00000044"/>
    <w:lvl w:ilvl="0">
      <w:start w:val="1"/>
      <w:numFmt w:val="decimal"/>
      <w:lvlText w:val="[d]"/>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00000045"/>
    <w:multiLevelType w:val="multilevel"/>
    <w:tmpl w:val="00000045"/>
    <w:lvl w:ilvl="0">
      <w:start w:val="1"/>
      <w:numFmt w:val="decimal"/>
      <w:lvlText w:val="[e]"/>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eastAsia="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header" Target="header4.xml" /><Relationship Id="rId14" Type="http://schemas.openxmlformats.org/officeDocument/2006/relationships/header" Target="header5.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header" Target="header6.xml" /><Relationship Id="rId18" Type="http://schemas.openxmlformats.org/officeDocument/2006/relationships/footer" Target="footer6.xml" /><Relationship Id="rId19" Type="http://schemas.openxmlformats.org/officeDocument/2006/relationships/hyperlink" Target="https://advance.lexis.com/api/document?collection=analytical-materials&amp;id=urn:contentItem:52C9-FYS0-R03K-6457-00000-00&amp;context=" TargetMode="External" /><Relationship Id="rId2" Type="http://schemas.openxmlformats.org/officeDocument/2006/relationships/settings" Target="settings.xml" /><Relationship Id="rId20" Type="http://schemas.openxmlformats.org/officeDocument/2006/relationships/hyperlink" Target="https://advance.lexis.com/api/document?collection=statutes-legislation&amp;id=urn:contentItem:8SG9-5HW2-D6RV-H0V2-00000-00&amp;context=" TargetMode="External" /><Relationship Id="rId21" Type="http://schemas.openxmlformats.org/officeDocument/2006/relationships/hyperlink" Target="https://advance.lexis.com/api/document?collection=statutes-legislation&amp;id=urn:contentItem:8S6M-T0S2-D6RV-H467-00000-00&amp;context=" TargetMode="External" /><Relationship Id="rId22" Type="http://schemas.openxmlformats.org/officeDocument/2006/relationships/hyperlink" Target="https://advance.lexis.com/api/document?collection=statutes-legislation&amp;id=urn:contentItem:8S6M-T0S2-D6RV-H48H-00000-00&amp;context=" TargetMode="External" /><Relationship Id="rId23" Type="http://schemas.openxmlformats.org/officeDocument/2006/relationships/hyperlink" Target="https://advance.lexis.com/api/document?collection=statutes-legislation&amp;id=urn:contentItem:8S6M-T0S2-D6RV-H46X-00000-00&amp;context=" TargetMode="External" /><Relationship Id="rId24" Type="http://schemas.openxmlformats.org/officeDocument/2006/relationships/hyperlink" Target="https://advance.lexis.com/api/document?collection=statutes-legislation&amp;id=urn:contentItem:8S6M-T0S2-D6RV-H462-00000-00&amp;context=" TargetMode="External" /><Relationship Id="rId25" Type="http://schemas.openxmlformats.org/officeDocument/2006/relationships/hyperlink" Target="https://advance.lexis.com/api/document?collection=statutes-legislation&amp;id=urn:contentItem:8S6M-T0S2-D6RV-H481-00000-00&amp;context=" TargetMode="External" /><Relationship Id="rId26" Type="http://schemas.openxmlformats.org/officeDocument/2006/relationships/hyperlink" Target="https://advance.lexis.com/api/document?collection=analytical-materials&amp;id=urn:contentItem:52C9-FYS0-R03K-646R-00000-00&amp;context=" TargetMode="External" /><Relationship Id="rId27" Type="http://schemas.openxmlformats.org/officeDocument/2006/relationships/hyperlink" Target="https://advance.lexis.com/api/document?collection=statutes-legislation&amp;id=urn:contentItem:8SG9-5HW2-D6RV-H0VH-00000-00&amp;context=" TargetMode="External" /><Relationship Id="rId28" Type="http://schemas.openxmlformats.org/officeDocument/2006/relationships/hyperlink" Target="https://advance.lexis.com/api/document?collection=analytical-materials&amp;id=urn:contentItem:53X4-XJS0-R03M-M016-00000-00&amp;context=" TargetMode="External" /><Relationship Id="rId29" Type="http://schemas.openxmlformats.org/officeDocument/2006/relationships/hyperlink" Target="https://advance.lexis.com/api/document?collection=statutes-legislation&amp;id=urn:contentItem:8T9R-R212-8T6X-72XD-00000-00&amp;context=" TargetMode="External" /><Relationship Id="rId3" Type="http://schemas.openxmlformats.org/officeDocument/2006/relationships/webSettings" Target="webSettings.xml" /><Relationship Id="rId30" Type="http://schemas.openxmlformats.org/officeDocument/2006/relationships/hyperlink" Target="https://advance.lexis.com/api/document?collection=statutes-legislation&amp;id=urn:contentItem:8SG9-5HW2-D6RV-H0FT-00000-00&amp;context=" TargetMode="External" /><Relationship Id="rId31" Type="http://schemas.openxmlformats.org/officeDocument/2006/relationships/hyperlink" Target="https://advance.lexis.com/api/document?collection=statutes-legislation&amp;id=urn:contentItem:8SG9-5HW2-D6RV-H0VG-00000-00&amp;context=" TargetMode="Externa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hyperlink" Target="https://advance.lexis.com/api/document?id=urn:contentItem:52C9-FYS0-R03K-6457-00000-00&amp;idtype=PID&amp;context=1000516"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s://advance.lexis.com/api/document?collection=cases&amp;id=urn:contentItem:3S4X-FB90-003B-S270-00000-00&amp;context=" TargetMode="External" /><Relationship Id="rId10" Type="http://schemas.openxmlformats.org/officeDocument/2006/relationships/hyperlink" Target="https://advance.lexis.com/api/document?collection=statutes-legislation&amp;id=urn:contentItem:8S6M-T0S2-D6RV-H467-00000-00&amp;context=" TargetMode="External" /><Relationship Id="rId100" Type="http://schemas.openxmlformats.org/officeDocument/2006/relationships/hyperlink" Target="https://advance.lexis.com/api/document?collection=statutes-legislation&amp;id=urn:contentItem:8S6M-T0S2-D6RV-H488-00000-00&amp;context=" TargetMode="External" /><Relationship Id="rId101" Type="http://schemas.openxmlformats.org/officeDocument/2006/relationships/hyperlink" Target="https://advance.lexis.com/api/document?collection=cases&amp;id=urn:contentItem:594F-PD71-F04K-K058-00000-00&amp;context=" TargetMode="External" /><Relationship Id="rId102" Type="http://schemas.openxmlformats.org/officeDocument/2006/relationships/hyperlink" Target="https://advance.lexis.com/api/document?collection=cases&amp;id=urn:contentItem:559S-9TN1-F04D-155F-00000-00&amp;context=" TargetMode="External" /><Relationship Id="rId103" Type="http://schemas.openxmlformats.org/officeDocument/2006/relationships/hyperlink" Target="https://advance.lexis.com/api/document?collection=cases&amp;id=urn:contentItem:4GR2-YPG0-TVX1-B37N-00000-00&amp;context=" TargetMode="External" /><Relationship Id="rId104" Type="http://schemas.openxmlformats.org/officeDocument/2006/relationships/hyperlink" Target="https://advance.lexis.com/api/document?collection=cases&amp;id=urn:contentItem:4GR9-MWK0-TVW3-P1RV-00000-00&amp;context=" TargetMode="External" /><Relationship Id="rId105" Type="http://schemas.openxmlformats.org/officeDocument/2006/relationships/hyperlink" Target="https://advance.lexis.com/api/document?collection=cases&amp;id=urn:contentItem:4K3C-N5X0-0038-X2F5-00000-00&amp;context=" TargetMode="External" /><Relationship Id="rId106" Type="http://schemas.openxmlformats.org/officeDocument/2006/relationships/hyperlink" Target="https://advance.lexis.com/api/document?collection=cases&amp;id=urn:contentItem:4GP1-9H10-TVX1-B323-00000-00&amp;context=" TargetMode="External" /><Relationship Id="rId107" Type="http://schemas.openxmlformats.org/officeDocument/2006/relationships/hyperlink" Target="https://advance.lexis.com/api/document?collection=cases&amp;id=urn:contentItem:4GM9-R7H0-TVVD-N2F8-00000-00&amp;context=" TargetMode="External" /><Relationship Id="rId108" Type="http://schemas.openxmlformats.org/officeDocument/2006/relationships/hyperlink" Target="https://advance.lexis.com/api/document?collection=cases&amp;id=urn:contentItem:4J86-R1R0-0038-X420-00000-00&amp;context=" TargetMode="External" /><Relationship Id="rId109" Type="http://schemas.openxmlformats.org/officeDocument/2006/relationships/hyperlink" Target="https://advance.lexis.com/api/document?collection=cases&amp;id=urn:contentItem:4GM3-H0W0-TVX1-B2VK-00000-00&amp;context=" TargetMode="External" /><Relationship Id="rId11" Type="http://schemas.openxmlformats.org/officeDocument/2006/relationships/hyperlink" Target="https://advance.lexis.com/api/document?collection=analytical-materials&amp;id=urn:contentItem:5847-NSN0-R03P-218D-00000-00&amp;context=" TargetMode="External" /><Relationship Id="rId110" Type="http://schemas.openxmlformats.org/officeDocument/2006/relationships/hyperlink" Target="https://advance.lexis.com/api/document?collection=cases&amp;id=urn:contentItem:4GKW-GRY0-TVX1-B2PD-00000-00&amp;context=" TargetMode="External" /><Relationship Id="rId111" Type="http://schemas.openxmlformats.org/officeDocument/2006/relationships/hyperlink" Target="https://advance.lexis.com/api/document?collection=cases&amp;id=urn:contentItem:4KC2-KTJ0-0038-X095-00000-00&amp;context=" TargetMode="External" /><Relationship Id="rId112" Type="http://schemas.openxmlformats.org/officeDocument/2006/relationships/hyperlink" Target="https://advance.lexis.com/api/document?collection=cases&amp;id=urn:contentItem:4GH9-VGT0-TVX1-B2P6-00000-00&amp;context=" TargetMode="External" /><Relationship Id="rId113" Type="http://schemas.openxmlformats.org/officeDocument/2006/relationships/hyperlink" Target="https://advance.lexis.com/api/document?collection=cases&amp;id=urn:contentItem:4GFV-6RW0-TVV8-M2FX-00000-00&amp;context=" TargetMode="External" /><Relationship Id="rId114" Type="http://schemas.openxmlformats.org/officeDocument/2006/relationships/hyperlink" Target="https://advance.lexis.com/api/document?collection=cases&amp;id=urn:contentItem:4GC2-8PX0-TVX1-B34M-00000-00&amp;context=" TargetMode="External" /><Relationship Id="rId115" Type="http://schemas.openxmlformats.org/officeDocument/2006/relationships/hyperlink" Target="https://advance.lexis.com/api/document?collection=cases&amp;id=urn:contentItem:4GBM-KHP0-TVW3-P36C-00000-00&amp;context=" TargetMode="External" /><Relationship Id="rId116" Type="http://schemas.openxmlformats.org/officeDocument/2006/relationships/hyperlink" Target="https://advance.lexis.com/api/document?collection=cases&amp;id=urn:contentItem:4G9S-PTT0-TVW3-P23Y-00000-00&amp;context=" TargetMode="External" /><Relationship Id="rId117" Type="http://schemas.openxmlformats.org/officeDocument/2006/relationships/hyperlink" Target="https://advance.lexis.com/api/document?collection=cases&amp;id=urn:contentItem:4GG2-T5B0-TVT3-D296-00000-00&amp;context=" TargetMode="External" /><Relationship Id="rId118" Type="http://schemas.openxmlformats.org/officeDocument/2006/relationships/hyperlink" Target="https://advance.lexis.com/api/document?collection=cases&amp;id=urn:contentItem:4GR9-4FJ0-TVW3-P31W-00000-00&amp;context=" TargetMode="External" /><Relationship Id="rId119" Type="http://schemas.openxmlformats.org/officeDocument/2006/relationships/hyperlink" Target="https://advance.lexis.com/api/document?collection=cases&amp;id=urn:contentItem:4GD4-7SM0-TVX1-B2W0-00000-00&amp;context=" TargetMode="External" /><Relationship Id="rId12" Type="http://schemas.openxmlformats.org/officeDocument/2006/relationships/hyperlink" Target="https://advance.lexis.com/api/document?collection=cases&amp;id=urn:contentItem:3THY-9SP0-0038-X3Y2-00000-00&amp;context=" TargetMode="External" /><Relationship Id="rId120" Type="http://schemas.openxmlformats.org/officeDocument/2006/relationships/hyperlink" Target="https://advance.lexis.com/api/document?collection=cases&amp;id=urn:contentItem:5FX9-1701-F04D-C1CJ-00000-00&amp;context=" TargetMode="External" /><Relationship Id="rId121" Type="http://schemas.openxmlformats.org/officeDocument/2006/relationships/hyperlink" Target="https://advance.lexis.com/api/document?collection=cases&amp;id=urn:contentItem:5BGM-N881-F04F-C377-00000-00&amp;context=" TargetMode="External" /><Relationship Id="rId122" Type="http://schemas.openxmlformats.org/officeDocument/2006/relationships/hyperlink" Target="https://advance.lexis.com/api/document?collection=cases&amp;id=urn:contentItem:4GMJ-0D60-TVW3-P1WS-00000-00&amp;context=" TargetMode="External" /><Relationship Id="rId123" Type="http://schemas.openxmlformats.org/officeDocument/2006/relationships/hyperlink" Target="https://advance.lexis.com/api/document?collection=cases&amp;id=urn:contentItem:4RV3-0XW0-TXFX-41VG-00000-00&amp;context=" TargetMode="External" /><Relationship Id="rId124" Type="http://schemas.openxmlformats.org/officeDocument/2006/relationships/hyperlink" Target="https://advance.lexis.com/api/document?collection=cases&amp;id=urn:contentItem:4PKV-JVW0-TXFX-531V-00000-00&amp;context=" TargetMode="External" /><Relationship Id="rId125" Type="http://schemas.openxmlformats.org/officeDocument/2006/relationships/hyperlink" Target="https://advance.lexis.com/api/document?collection=cases&amp;id=urn:contentItem:4J8D-NYK0-0038-X448-00000-00&amp;context=" TargetMode="External" /><Relationship Id="rId126" Type="http://schemas.openxmlformats.org/officeDocument/2006/relationships/hyperlink" Target="https://advance.lexis.com/api/document?collection=cases&amp;id=urn:contentItem:4J1N-TDC0-0038-X1WB-00000-00&amp;context=" TargetMode="External" /><Relationship Id="rId127" Type="http://schemas.openxmlformats.org/officeDocument/2006/relationships/hyperlink" Target="https://advance.lexis.com/api/document?collection=cases&amp;id=urn:contentItem:4H2R-7K50-0038-X41G-00000-00&amp;context=" TargetMode="External" /><Relationship Id="rId128" Type="http://schemas.openxmlformats.org/officeDocument/2006/relationships/hyperlink" Target="https://advance.lexis.com/api/document?collection=cases&amp;id=urn:contentItem:4HM9-3DF0-0038-X31N-00000-00&amp;context=" TargetMode="External" /><Relationship Id="rId129" Type="http://schemas.openxmlformats.org/officeDocument/2006/relationships/hyperlink" Target="https://advance.lexis.com/api/document?collection=cases&amp;id=urn:contentItem:3XP6-4MB0-0038-X2GW-00000-00&amp;context=" TargetMode="External" /><Relationship Id="rId13" Type="http://schemas.openxmlformats.org/officeDocument/2006/relationships/hyperlink" Target="https://advance.lexis.com/api/document?collection=cases&amp;id=urn:contentItem:3V42-5VV0-0038-X04J-00000-00&amp;context=" TargetMode="External" /><Relationship Id="rId130" Type="http://schemas.openxmlformats.org/officeDocument/2006/relationships/hyperlink" Target="https://advance.lexis.com/api/document?collection=cases&amp;id=urn:contentItem:3S4X-C5N0-001B-K4GJ-00000-00&amp;context=" TargetMode="External" /><Relationship Id="rId131" Type="http://schemas.openxmlformats.org/officeDocument/2006/relationships/hyperlink" Target="https://advance.lexis.com/api/document?collection=cases&amp;id=urn:contentItem:3S4N-HGH0-008H-F0HY-00000-00&amp;context=" TargetMode="External" /><Relationship Id="rId132" Type="http://schemas.openxmlformats.org/officeDocument/2006/relationships/hyperlink" Target="https://advance.lexis.com/api/document?collection=cases&amp;id=urn:contentItem:3S4X-67S0-008H-V4CN-00000-00&amp;context=" TargetMode="External" /><Relationship Id="rId133" Type="http://schemas.openxmlformats.org/officeDocument/2006/relationships/hyperlink" Target="https://advance.lexis.com/api/document?collection=cases&amp;id=urn:contentItem:3S4X-9JV0-003B-5211-00000-00&amp;context=" TargetMode="External" /><Relationship Id="rId134" Type="http://schemas.openxmlformats.org/officeDocument/2006/relationships/hyperlink" Target="https://advance.lexis.com/api/document?collection=cases&amp;id=urn:contentItem:3S4N-H0R0-008H-F4BM-00000-00&amp;context=" TargetMode="External" /><Relationship Id="rId135" Type="http://schemas.openxmlformats.org/officeDocument/2006/relationships/hyperlink" Target="https://advance.lexis.com/api/document?collection=cases&amp;id=urn:contentItem:3S4N-8V40-003B-63XH-00000-00&amp;context=" TargetMode="External" /><Relationship Id="rId136" Type="http://schemas.openxmlformats.org/officeDocument/2006/relationships/hyperlink" Target="https://advance.lexis.com/api/document?collection=cases&amp;id=urn:contentItem:3S4X-27V0-008H-V3WK-00000-00&amp;context=" TargetMode="External" /><Relationship Id="rId137" Type="http://schemas.openxmlformats.org/officeDocument/2006/relationships/hyperlink" Target="https://advance.lexis.com/api/document?collection=cases&amp;id=urn:contentItem:3VNF-W500-0038-X2S6-00000-00&amp;context=" TargetMode="External" /><Relationship Id="rId138" Type="http://schemas.openxmlformats.org/officeDocument/2006/relationships/hyperlink" Target="https://advance.lexis.com/api/document?collection=cases&amp;id=urn:contentItem:3TRX-6020-0038-X2DW-00000-00&amp;context=" TargetMode="External" /><Relationship Id="rId139" Type="http://schemas.openxmlformats.org/officeDocument/2006/relationships/hyperlink" Target="https://advance.lexis.com/api/document?collection=cases&amp;id=urn:contentItem:3S4X-FVH0-003B-H4JT-00000-00&amp;context=" TargetMode="External" /><Relationship Id="rId14" Type="http://schemas.openxmlformats.org/officeDocument/2006/relationships/hyperlink" Target="https://advance.lexis.com/api/document?collection=cases&amp;id=urn:contentItem:3Y6P-45M0-0038-X120-00000-00&amp;context=" TargetMode="External" /><Relationship Id="rId140" Type="http://schemas.openxmlformats.org/officeDocument/2006/relationships/hyperlink" Target="https://advance.lexis.com/api/document?collection=cases&amp;id=urn:contentItem:49C5-7JC0-0038-X08R-00000-00&amp;context=" TargetMode="External" /><Relationship Id="rId141" Type="http://schemas.openxmlformats.org/officeDocument/2006/relationships/hyperlink" Target="https://advance.lexis.com/api/document?collection=cases&amp;id=urn:contentItem:46DF-C240-0038-X05C-00000-00&amp;context=" TargetMode="External" /><Relationship Id="rId142" Type="http://schemas.openxmlformats.org/officeDocument/2006/relationships/hyperlink" Target="https://advance.lexis.com/api/document?collection=cases&amp;id=urn:contentItem:494C-X0M0-0038-X21B-00000-00&amp;context=" TargetMode="External" /><Relationship Id="rId143" Type="http://schemas.openxmlformats.org/officeDocument/2006/relationships/hyperlink" Target="https://advance.lexis.com/api/document?collection=cases&amp;id=urn:contentItem:4663-79W0-0038-X2P6-00000-00&amp;context=" TargetMode="External" /><Relationship Id="rId144" Type="http://schemas.openxmlformats.org/officeDocument/2006/relationships/hyperlink" Target="https://advance.lexis.com/api/document?collection=cases&amp;id=urn:contentItem:47W5-0GP0-0038-X1SJ-00000-00&amp;context=" TargetMode="External" /><Relationship Id="rId145" Type="http://schemas.openxmlformats.org/officeDocument/2006/relationships/hyperlink" Target="https://advance.lexis.com/api/document?collection=cases&amp;id=urn:contentItem:44XX-1PJ0-0038-X1HS-00000-00&amp;context=" TargetMode="External" /><Relationship Id="rId146" Type="http://schemas.openxmlformats.org/officeDocument/2006/relationships/hyperlink" Target="https://advance.lexis.com/api/document?collection=cases&amp;id=urn:contentItem:43P4-P8P0-0038-X3BN-00000-00&amp;context=" TargetMode="External" /><Relationship Id="rId147" Type="http://schemas.openxmlformats.org/officeDocument/2006/relationships/hyperlink" Target="https://advance.lexis.com/api/document?collection=cases&amp;id=urn:contentItem:49D6-KCX0-0038-Y3PC-00000-00&amp;context=" TargetMode="External" /><Relationship Id="rId148" Type="http://schemas.openxmlformats.org/officeDocument/2006/relationships/hyperlink" Target="https://advance.lexis.com/api/document?collection=cases&amp;id=urn:contentItem:48F5-9MH0-0038-Y2RH-00000-00&amp;context=" TargetMode="External" /><Relationship Id="rId149" Type="http://schemas.openxmlformats.org/officeDocument/2006/relationships/hyperlink" Target="https://advance.lexis.com/api/document?collection=cases&amp;id=urn:contentItem:480T-05M0-0038-Y1NY-00000-00&amp;context=" TargetMode="External" /><Relationship Id="rId15" Type="http://schemas.openxmlformats.org/officeDocument/2006/relationships/hyperlink" Target="https://advance.lexis.com/api/document?collection=cases&amp;id=urn:contentItem:3VCR-J5X0-0038-X3VD-00000-00&amp;context=" TargetMode="External" /><Relationship Id="rId150" Type="http://schemas.openxmlformats.org/officeDocument/2006/relationships/hyperlink" Target="https://advance.lexis.com/api/document?collection=cases&amp;id=urn:contentItem:46K3-D3S0-0038-Y52T-00000-00&amp;context=" TargetMode="External" /><Relationship Id="rId151" Type="http://schemas.openxmlformats.org/officeDocument/2006/relationships/hyperlink" Target="https://advance.lexis.com/api/document?collection=cases&amp;id=urn:contentItem:3VS2-BV80-0038-X55Y-00000-00&amp;context=" TargetMode="External" /><Relationship Id="rId152" Type="http://schemas.openxmlformats.org/officeDocument/2006/relationships/hyperlink" Target="https://advance.lexis.com/api/document?collection=cases&amp;id=urn:contentItem:4NKP-8RG0-0038-X03V-00000-00&amp;context=" TargetMode="External" /><Relationship Id="rId153" Type="http://schemas.openxmlformats.org/officeDocument/2006/relationships/hyperlink" Target="https://advance.lexis.com/api/document?collection=cases&amp;id=urn:contentItem:4NGM-9190-0038-X481-00000-00&amp;context=" TargetMode="External" /><Relationship Id="rId154" Type="http://schemas.openxmlformats.org/officeDocument/2006/relationships/hyperlink" Target="https://advance.lexis.com/api/document?collection=cases&amp;id=urn:contentItem:4MG8-5JT0-0038-X091-00000-00&amp;context=" TargetMode="External" /><Relationship Id="rId155" Type="http://schemas.openxmlformats.org/officeDocument/2006/relationships/hyperlink" Target="https://advance.lexis.com/api/document?collection=cases&amp;id=urn:contentItem:4JM0-SK90-TVVD-N26X-00000-00&amp;context=" TargetMode="External" /><Relationship Id="rId156" Type="http://schemas.openxmlformats.org/officeDocument/2006/relationships/hyperlink" Target="https://advance.lexis.com/api/document?collection=statutes-legislation&amp;id=urn:contentItem:8SG9-5HW2-D6RV-H0VH-00000-00&amp;context=" TargetMode="External" /><Relationship Id="rId157" Type="http://schemas.openxmlformats.org/officeDocument/2006/relationships/hyperlink" Target="https://advance.lexis.com/api/document?collection=cases&amp;id=urn:contentItem:4T2D-8W70-TX4N-G08V-00000-00&amp;context=" TargetMode="External" /><Relationship Id="rId158" Type="http://schemas.openxmlformats.org/officeDocument/2006/relationships/hyperlink" Target="https://advance.lexis.com/api/document?collection=cases&amp;id=urn:contentItem:4MYP-B5V0-0038-X4B0-00000-00&amp;context=" TargetMode="External" /><Relationship Id="rId159" Type="http://schemas.openxmlformats.org/officeDocument/2006/relationships/hyperlink" Target="https://advance.lexis.com/api/document?collection=cases&amp;id=urn:contentItem:4JPR-Y230-0038-X3WK-00000-00&amp;context=" TargetMode="External" /><Relationship Id="rId16" Type="http://schemas.openxmlformats.org/officeDocument/2006/relationships/hyperlink" Target="https://advance.lexis.com/api/document?collection=cases&amp;id=urn:contentItem:3YN8-DW90-0038-X25Y-00000-00&amp;context=" TargetMode="External" /><Relationship Id="rId160" Type="http://schemas.openxmlformats.org/officeDocument/2006/relationships/hyperlink" Target="https://advance.lexis.com/api/document?collection=cases&amp;id=urn:contentItem:4SRD-RDR0-TXFX-131G-00000-00&amp;context=" TargetMode="External" /><Relationship Id="rId161" Type="http://schemas.openxmlformats.org/officeDocument/2006/relationships/hyperlink" Target="https://advance.lexis.com/api/document?collection=analytical-materials&amp;id=urn:contentItem:4YT6-6F50-02BN-1072-00000-00&amp;context=" TargetMode="External" /><Relationship Id="rId162" Type="http://schemas.openxmlformats.org/officeDocument/2006/relationships/hyperlink" Target="https://advance.lexis.com/api/document?collection=analytical-materials&amp;id=urn:contentItem:4X5Y-HDT0-00CW-G025-00000-00&amp;context=" TargetMode="External" /><Relationship Id="rId163" Type="http://schemas.openxmlformats.org/officeDocument/2006/relationships/hyperlink" Target="https://advance.lexis.com/api/document?collection=cases&amp;id=urn:contentItem:51J2-X1K1-652R-1002-00000-00&amp;context=" TargetMode="External" /><Relationship Id="rId164" Type="http://schemas.openxmlformats.org/officeDocument/2006/relationships/hyperlink" Target="https://advance.lexis.com/api/document?collection=cases&amp;id=urn:contentItem:4VVY-6SK0-TXFX-838P-00000-00&amp;context=" TargetMode="External" /><Relationship Id="rId165" Type="http://schemas.openxmlformats.org/officeDocument/2006/relationships/hyperlink" Target="https://advance.lexis.com/api/document?collection=cases&amp;id=urn:contentItem:529K-RT91-JCNH-V027-00000-00&amp;context=" TargetMode="External" /><Relationship Id="rId166" Type="http://schemas.openxmlformats.org/officeDocument/2006/relationships/hyperlink" Target="https://advance.lexis.com/api/document?collection=cases&amp;id=urn:contentItem:4T8K-6S40-TX4N-G0NR-00000-00&amp;context=" TargetMode="External" /><Relationship Id="rId167" Type="http://schemas.openxmlformats.org/officeDocument/2006/relationships/hyperlink" Target="https://advance.lexis.com/api/document?collection=cases&amp;id=urn:contentItem:4JVM-CTN0-0038-X00P-00000-00&amp;context=" TargetMode="External" /><Relationship Id="rId168" Type="http://schemas.openxmlformats.org/officeDocument/2006/relationships/hyperlink" Target="https://advance.lexis.com/api/document?collection=cases&amp;id=urn:contentItem:44N1-1VF0-0038-X3T7-00000-00&amp;context=" TargetMode="External" /><Relationship Id="rId169" Type="http://schemas.openxmlformats.org/officeDocument/2006/relationships/hyperlink" Target="https://advance.lexis.com/api/document?collection=cases&amp;id=urn:contentItem:4951-TKH0-0038-Y0TK-00000-00&amp;context=" TargetMode="External" /><Relationship Id="rId17" Type="http://schemas.openxmlformats.org/officeDocument/2006/relationships/hyperlink" Target="https://advance.lexis.com/api/document?collection=cases&amp;id=urn:contentItem:43BX-13R0-004B-Y051-00000-00&amp;context=" TargetMode="External" /><Relationship Id="rId170" Type="http://schemas.openxmlformats.org/officeDocument/2006/relationships/hyperlink" Target="https://advance.lexis.com/api/document?collection=cases&amp;id=urn:contentItem:3XPN-51Y0-0038-Y1GW-00000-00&amp;context=" TargetMode="External" /><Relationship Id="rId171" Type="http://schemas.openxmlformats.org/officeDocument/2006/relationships/hyperlink" Target="https://advance.lexis.com/api/document?collection=cases&amp;id=urn:contentItem:4TXK-K710-TXFX-D212-00000-00&amp;context=" TargetMode="External" /><Relationship Id="rId172" Type="http://schemas.openxmlformats.org/officeDocument/2006/relationships/hyperlink" Target="https://advance.lexis.com/api/document?collection=cases&amp;id=urn:contentItem:4K7X-VJT0-0038-X4FC-00000-00&amp;context=" TargetMode="External" /><Relationship Id="rId173" Type="http://schemas.openxmlformats.org/officeDocument/2006/relationships/hyperlink" Target="https://advance.lexis.com/api/document?collection=cases&amp;id=urn:contentItem:4GYR-MMG0-0038-X366-00000-00&amp;context=" TargetMode="External" /><Relationship Id="rId174" Type="http://schemas.openxmlformats.org/officeDocument/2006/relationships/hyperlink" Target="https://advance.lexis.com/api/document?collection=cases&amp;id=urn:contentItem:4JKS-PT70-TVX1-B22V-00000-00&amp;context=" TargetMode="External" /><Relationship Id="rId175" Type="http://schemas.openxmlformats.org/officeDocument/2006/relationships/hyperlink" Target="https://advance.lexis.com/api/document?collection=cases&amp;id=urn:contentItem:59HS-8741-F04K-V172-00000-00&amp;context=" TargetMode="External" /><Relationship Id="rId176" Type="http://schemas.openxmlformats.org/officeDocument/2006/relationships/hyperlink" Target="https://advance.lexis.com/api/document?collection=cases&amp;id=urn:contentItem:587Y-28M1-F04K-K00J-00000-00&amp;context=" TargetMode="External" /><Relationship Id="rId177" Type="http://schemas.openxmlformats.org/officeDocument/2006/relationships/hyperlink" Target="https://advance.lexis.com/api/document?collection=cases&amp;id=urn:contentItem:5600-9S61-F04C-Y18J-00000-00&amp;context=" TargetMode="External" /><Relationship Id="rId178" Type="http://schemas.openxmlformats.org/officeDocument/2006/relationships/hyperlink" Target="https://advance.lexis.com/api/document?collection=cases&amp;id=urn:contentItem:4MJJ-FXG0-TVVM-W1XY-00000-00&amp;context=" TargetMode="External" /><Relationship Id="rId179" Type="http://schemas.openxmlformats.org/officeDocument/2006/relationships/hyperlink" Target="https://advance.lexis.com/api/document?collection=cases&amp;id=urn:contentItem:52HD-0421-652R-817F-00000-00&amp;context=" TargetMode="External" /><Relationship Id="rId18" Type="http://schemas.openxmlformats.org/officeDocument/2006/relationships/hyperlink" Target="https://advance.lexis.com/api/document?collection=cases&amp;id=urn:contentItem:43BX-1110-004C-2012-00000-00&amp;context=" TargetMode="External" /><Relationship Id="rId180" Type="http://schemas.openxmlformats.org/officeDocument/2006/relationships/hyperlink" Target="https://advance.lexis.com/api/document?collection=cases&amp;id=urn:contentItem:4PH2-MD50-TXFX-D39S-00000-00&amp;context=" TargetMode="External" /><Relationship Id="rId181" Type="http://schemas.openxmlformats.org/officeDocument/2006/relationships/hyperlink" Target="https://advance.lexis.com/api/document?collection=cases&amp;id=urn:contentItem:48GD-GH80-004C-0012-00000-00&amp;context=" TargetMode="External" /><Relationship Id="rId182" Type="http://schemas.openxmlformats.org/officeDocument/2006/relationships/hyperlink" Target="https://advance.lexis.com/api/document?collection=cases&amp;id=urn:contentItem:3W4X-XY50-0038-X2PW-00000-00&amp;context=" TargetMode="External" /><Relationship Id="rId183" Type="http://schemas.openxmlformats.org/officeDocument/2006/relationships/hyperlink" Target="https://advance.lexis.com/api/document?collection=statutes-legislation&amp;id=urn:contentItem:8S6M-T0S2-D6RV-H481-00000-00&amp;context=" TargetMode="External" /><Relationship Id="rId184" Type="http://schemas.openxmlformats.org/officeDocument/2006/relationships/hyperlink" Target="https://advance.lexis.com/api/document?collection=cases&amp;id=urn:contentItem:463N-RP40-0038-X1HP-00000-00&amp;context=" TargetMode="External" /><Relationship Id="rId185" Type="http://schemas.openxmlformats.org/officeDocument/2006/relationships/hyperlink" Target="https://advance.lexis.com/api/document?collection=cases&amp;id=urn:contentItem:47YS-C010-0038-Y1GW-00000-00&amp;context=" TargetMode="External" /><Relationship Id="rId186" Type="http://schemas.openxmlformats.org/officeDocument/2006/relationships/hyperlink" Target="https://advance.lexis.com/api/document?collection=analytical-materials&amp;id=urn:contentItem:52C9-FYS0-R03K-646V-00000-00&amp;context=" TargetMode="External" /><Relationship Id="rId187" Type="http://schemas.openxmlformats.org/officeDocument/2006/relationships/hyperlink" Target="https://advance.lexis.com/api/document?collection=cases&amp;id=urn:contentItem:3VM0-WV50-0038-X2D6-00000-00&amp;context=" TargetMode="External" /><Relationship Id="rId188" Type="http://schemas.openxmlformats.org/officeDocument/2006/relationships/hyperlink" Target="https://advance.lexis.com/api/document?collection=cases&amp;id=urn:contentItem:3VD8-CKS0-0038-Y2WM-00000-00&amp;context=" TargetMode="External" /><Relationship Id="rId189" Type="http://schemas.openxmlformats.org/officeDocument/2006/relationships/hyperlink" Target="https://advance.lexis.com/api/document?collection=cases&amp;id=urn:contentItem:48H4-83V0-0038-Y3M1-00000-00&amp;context=" TargetMode="External" /><Relationship Id="rId19" Type="http://schemas.openxmlformats.org/officeDocument/2006/relationships/hyperlink" Target="https://advance.lexis.com/api/document?collection=analytical-materials&amp;id=urn:contentItem:52C9-FYS0-R03K-6457-00000-00&amp;context=" TargetMode="External" /><Relationship Id="rId190" Type="http://schemas.openxmlformats.org/officeDocument/2006/relationships/hyperlink" Target="https://advance.lexis.com/api/document?collection=statutes-legislation&amp;id=urn:contentItem:8S6M-T0S2-D6RV-H48B-00000-00&amp;context=" TargetMode="External" /><Relationship Id="rId191" Type="http://schemas.openxmlformats.org/officeDocument/2006/relationships/hyperlink" Target="https://advance.lexis.com/api/document?collection=analytical-materials&amp;id=urn:contentItem:52C9-FYS0-R03K-646R-00000-00&amp;context=" TargetMode="External" /><Relationship Id="rId192" Type="http://schemas.openxmlformats.org/officeDocument/2006/relationships/hyperlink" Target="https://advance.lexis.com/api/document?collection=cases&amp;id=urn:contentItem:43CJ-1W20-004C-2013-00000-00&amp;context=" TargetMode="External" /><Relationship Id="rId193" Type="http://schemas.openxmlformats.org/officeDocument/2006/relationships/hyperlink" Target="https://advance.lexis.com/api/document?collection=cases&amp;id=urn:contentItem:43KY-97V0-0038-X2MT-00000-00&amp;context=" TargetMode="External" /><Relationship Id="rId194" Type="http://schemas.openxmlformats.org/officeDocument/2006/relationships/hyperlink" Target="https://advance.lexis.com/api/document?collection=cases&amp;id=urn:contentItem:3YPG-GW20-0038-X2M5-00000-00&amp;context=" TargetMode="External" /><Relationship Id="rId195" Type="http://schemas.openxmlformats.org/officeDocument/2006/relationships/hyperlink" Target="https://advance.lexis.com/api/document?collection=cases&amp;id=urn:contentItem:3X5P-35T0-0038-X3YB-00000-00&amp;context=" TargetMode="External" /><Relationship Id="rId196" Type="http://schemas.openxmlformats.org/officeDocument/2006/relationships/hyperlink" Target="https://advance.lexis.com/api/document?collection=cases&amp;id=urn:contentItem:3WMB-7GS0-0038-Y05C-00000-00&amp;context=" TargetMode="External" /><Relationship Id="rId197" Type="http://schemas.openxmlformats.org/officeDocument/2006/relationships/hyperlink" Target="https://advance.lexis.com/api/document?collection=cases&amp;id=urn:contentItem:3WYG-YCC0-0038-Y3N3-00000-00&amp;context=" TargetMode="External" /><Relationship Id="rId198" Type="http://schemas.openxmlformats.org/officeDocument/2006/relationships/hyperlink" Target="https://advance.lexis.com/api/document?collection=cases&amp;id=urn:contentItem:3VYS-VG30-0038-Y2XN-00000-00&amp;context=" TargetMode="External" /><Relationship Id="rId199" Type="http://schemas.openxmlformats.org/officeDocument/2006/relationships/hyperlink" Target="https://advance.lexis.com/api/document?collection=cases&amp;id=urn:contentItem:48GM-3D30-0038-Y396-00000-00&amp;context=" TargetMode="External" /><Relationship Id="rId2" Type="http://schemas.openxmlformats.org/officeDocument/2006/relationships/hyperlink" Target="https://advance.lexis.com/api/document?collection=statutes-legislation&amp;id=urn:contentItem:8T9R-PPB2-D6RV-H31B-00000-00&amp;context=" TargetMode="External" /><Relationship Id="rId20" Type="http://schemas.openxmlformats.org/officeDocument/2006/relationships/hyperlink" Target="https://advance.lexis.com/api/document?collection=cases&amp;id=urn:contentItem:3S4X-GW60-00B1-D2SR-00000-00&amp;context=" TargetMode="External" /><Relationship Id="rId200" Type="http://schemas.openxmlformats.org/officeDocument/2006/relationships/hyperlink" Target="https://advance.lexis.com/api/document?collection=cases&amp;id=urn:contentItem:4806-90T0-0038-X393-00000-00&amp;context=" TargetMode="External" /><Relationship Id="rId201" Type="http://schemas.openxmlformats.org/officeDocument/2006/relationships/hyperlink" Target="https://advance.lexis.com/api/document?collection=cases&amp;id=urn:contentItem:4JH1-PKK0-0038-X1MK-00000-00&amp;context=" TargetMode="External" /><Relationship Id="rId202" Type="http://schemas.openxmlformats.org/officeDocument/2006/relationships/hyperlink" Target="https://advance.lexis.com/api/document?collection=cases&amp;id=urn:contentItem:4B3F-8V60-0038-X2SV-00000-00&amp;context=" TargetMode="External" /><Relationship Id="rId203" Type="http://schemas.openxmlformats.org/officeDocument/2006/relationships/hyperlink" Target="https://advance.lexis.com/api/document?collection=cases&amp;id=urn:contentItem:4773-63B0-0038-Y3MY-00000-00&amp;context=" TargetMode="External" /><Relationship Id="rId204" Type="http://schemas.openxmlformats.org/officeDocument/2006/relationships/hyperlink" Target="https://advance.lexis.com/api/document?collection=cases&amp;id=urn:contentItem:46CJ-5CD0-0038-Y2HS-00000-00&amp;context=" TargetMode="External" /><Relationship Id="rId205" Type="http://schemas.openxmlformats.org/officeDocument/2006/relationships/hyperlink" Target="https://advance.lexis.com/api/document?collection=cases&amp;id=urn:contentItem:4599-90B0-0038-Y29G-00000-00&amp;context=" TargetMode="External" /><Relationship Id="rId206" Type="http://schemas.openxmlformats.org/officeDocument/2006/relationships/hyperlink" Target="https://advance.lexis.com/api/document?collection=cases&amp;id=urn:contentItem:4F7G-7080-004C-000M-00000-00&amp;context=" TargetMode="External" /><Relationship Id="rId207" Type="http://schemas.openxmlformats.org/officeDocument/2006/relationships/hyperlink" Target="https://advance.lexis.com/api/document?collection=analytical-materials&amp;id=urn:contentItem:4YPK-F3D0-00CV-804M-00000-00&amp;context=" TargetMode="External" /><Relationship Id="rId208" Type="http://schemas.openxmlformats.org/officeDocument/2006/relationships/hyperlink" Target="https://advance.lexis.com/api/document?collection=cases&amp;id=urn:contentItem:4SRD-SPN0-TXFX-1387-00000-00&amp;context=" TargetMode="External" /><Relationship Id="rId209" Type="http://schemas.openxmlformats.org/officeDocument/2006/relationships/hyperlink" Target="https://advance.lexis.com/api/document?collection=statutes-legislation&amp;id=urn:contentItem:8S6M-T0S2-D6RV-H482-00000-00&amp;context=" TargetMode="External" /><Relationship Id="rId21" Type="http://schemas.openxmlformats.org/officeDocument/2006/relationships/hyperlink" Target="https://advance.lexis.com/api/document?collection=cases&amp;id=urn:contentItem:3S4W-YK80-006F-M2K5-00000-00&amp;context=" TargetMode="External" /><Relationship Id="rId210" Type="http://schemas.openxmlformats.org/officeDocument/2006/relationships/hyperlink" Target="https://advance.lexis.com/api/document?collection=cases&amp;id=urn:contentItem:3WJM-F2F0-0038-X374-00000-00&amp;context=" TargetMode="External" /><Relationship Id="rId211" Type="http://schemas.openxmlformats.org/officeDocument/2006/relationships/hyperlink" Target="https://advance.lexis.com/api/document?collection=cases&amp;id=urn:contentItem:3S4N-87R0-006F-P4MB-00000-00&amp;context=" TargetMode="External" /><Relationship Id="rId212" Type="http://schemas.openxmlformats.org/officeDocument/2006/relationships/hyperlink" Target="https://advance.lexis.com/api/document?collection=cases&amp;id=urn:contentItem:3S4X-CVT0-003B-S36D-00000-00&amp;context=" TargetMode="External" /><Relationship Id="rId213" Type="http://schemas.openxmlformats.org/officeDocument/2006/relationships/hyperlink" Target="https://advance.lexis.com/api/document?collection=cases&amp;id=urn:contentItem:3S4X-96X0-0039-P3CJ-00000-00&amp;context=" TargetMode="External" /><Relationship Id="rId214" Type="http://schemas.openxmlformats.org/officeDocument/2006/relationships/hyperlink" Target="https://advance.lexis.com/api/document?collection=cases&amp;id=urn:contentItem:3S4N-C930-003B-6198-00000-00&amp;context=" TargetMode="External" /><Relationship Id="rId215" Type="http://schemas.openxmlformats.org/officeDocument/2006/relationships/hyperlink" Target="https://advance.lexis.com/api/document?collection=cases&amp;id=urn:contentItem:3XG1-TCJ0-0038-X0CH-00000-00&amp;context=" TargetMode="External" /><Relationship Id="rId216" Type="http://schemas.openxmlformats.org/officeDocument/2006/relationships/hyperlink" Target="https://advance.lexis.com/api/document?collection=cases&amp;id=urn:contentItem:3S4X-1YT0-001B-K2M1-00000-00&amp;context=" TargetMode="External" /><Relationship Id="rId217" Type="http://schemas.openxmlformats.org/officeDocument/2006/relationships/hyperlink" Target="https://advance.lexis.com/api/document?collection=cases&amp;id=urn:contentItem:49PT-N6B0-0038-Y2DM-00000-00&amp;context=" TargetMode="External" /><Relationship Id="rId218" Type="http://schemas.openxmlformats.org/officeDocument/2006/relationships/hyperlink" Target="https://advance.lexis.com/api/document?collection=cases&amp;id=urn:contentItem:3S4N-CCW0-006F-P3FF-00000-00&amp;context=" TargetMode="External" /><Relationship Id="rId219" Type="http://schemas.openxmlformats.org/officeDocument/2006/relationships/hyperlink" Target="https://advance.lexis.com/api/document?collection=cases&amp;id=urn:contentItem:3S4V-NWG0-0054-63M2-00000-00&amp;context=" TargetMode="External" /><Relationship Id="rId22" Type="http://schemas.openxmlformats.org/officeDocument/2006/relationships/hyperlink" Target="https://advance.lexis.com/api/document?collection=statutes-legislation&amp;id=urn:contentItem:8SG9-5HW2-D6RV-H0MN-00000-00&amp;context=" TargetMode="External" /><Relationship Id="rId220" Type="http://schemas.openxmlformats.org/officeDocument/2006/relationships/hyperlink" Target="https://advance.lexis.com/api/document?collection=cases&amp;id=urn:contentItem:3S4V-V2V0-0054-82PX-00000-00&amp;context=" TargetMode="External" /><Relationship Id="rId221" Type="http://schemas.openxmlformats.org/officeDocument/2006/relationships/hyperlink" Target="https://advance.lexis.com/api/document?collection=cases&amp;id=urn:contentItem:3S4X-C680-001T-D00G-00000-00&amp;context=" TargetMode="External" /><Relationship Id="rId222" Type="http://schemas.openxmlformats.org/officeDocument/2006/relationships/hyperlink" Target="https://advance.lexis.com/api/document?collection=cases&amp;id=urn:contentItem:3S4N-BKG0-0054-74DS-00000-00&amp;context=" TargetMode="External" /><Relationship Id="rId223" Type="http://schemas.openxmlformats.org/officeDocument/2006/relationships/hyperlink" Target="https://advance.lexis.com/api/document?collection=cases&amp;id=urn:contentItem:3S4X-3D10-0039-P4J8-00000-00&amp;context=" TargetMode="External" /><Relationship Id="rId224" Type="http://schemas.openxmlformats.org/officeDocument/2006/relationships/hyperlink" Target="https://advance.lexis.com/api/document?collection=cases&amp;id=urn:contentItem:3S4N-B460-003B-63BP-00000-00&amp;context=" TargetMode="External" /><Relationship Id="rId225" Type="http://schemas.openxmlformats.org/officeDocument/2006/relationships/hyperlink" Target="https://advance.lexis.com/api/document?collection=cases&amp;id=urn:contentItem:3S4N-MJR0-001T-63N1-00000-00&amp;context=" TargetMode="External" /><Relationship Id="rId226" Type="http://schemas.openxmlformats.org/officeDocument/2006/relationships/hyperlink" Target="https://advance.lexis.com/api/document?collection=cases&amp;id=urn:contentItem:3S4N-MJR0-001T-63N0-00000-00&amp;context=" TargetMode="External" /><Relationship Id="rId227" Type="http://schemas.openxmlformats.org/officeDocument/2006/relationships/hyperlink" Target="https://advance.lexis.com/api/document?collection=cases&amp;id=urn:contentItem:3S4X-3MD0-0039-W4TS-00000-00&amp;context=" TargetMode="External" /><Relationship Id="rId228" Type="http://schemas.openxmlformats.org/officeDocument/2006/relationships/hyperlink" Target="https://advance.lexis.com/api/document?collection=cases&amp;id=urn:contentItem:3S4N-SG90-001T-50KF-00000-00&amp;context=" TargetMode="External" /><Relationship Id="rId229" Type="http://schemas.openxmlformats.org/officeDocument/2006/relationships/hyperlink" Target="https://advance.lexis.com/api/document?collection=cases&amp;id=urn:contentItem:4CR8-1JM0-004C-2006-00000-00&amp;context=" TargetMode="External" /><Relationship Id="rId23" Type="http://schemas.openxmlformats.org/officeDocument/2006/relationships/hyperlink" Target="https://advance.lexis.com/api/document?collection=statutes-legislation&amp;id=urn:contentItem:8SG9-5HW2-D6RV-H0V2-00000-00&amp;context=" TargetMode="External" /><Relationship Id="rId230" Type="http://schemas.openxmlformats.org/officeDocument/2006/relationships/hyperlink" Target="https://advance.lexis.com/api/document?collection=cases&amp;id=urn:contentItem:4H5F-VWX0-0038-X4J9-00000-00&amp;context=" TargetMode="External" /><Relationship Id="rId231" Type="http://schemas.openxmlformats.org/officeDocument/2006/relationships/hyperlink" Target="https://advance.lexis.com/api/document?collection=cases&amp;id=urn:contentItem:48DS-K300-0038-X16R-00000-00&amp;context=" TargetMode="External" /><Relationship Id="rId232" Type="http://schemas.openxmlformats.org/officeDocument/2006/relationships/hyperlink" Target="https://advance.lexis.com/api/document?collection=cases&amp;id=urn:contentItem:42HN-F1K0-0038-X048-00000-00&amp;context=" TargetMode="External" /><Relationship Id="rId233" Type="http://schemas.openxmlformats.org/officeDocument/2006/relationships/hyperlink" Target="https://advance.lexis.com/api/document?collection=cases&amp;id=urn:contentItem:3WRB-MJM0-0038-X298-00000-00&amp;context=" TargetMode="External" /><Relationship Id="rId234" Type="http://schemas.openxmlformats.org/officeDocument/2006/relationships/hyperlink" Target="https://advance.lexis.com/api/document?collection=cases&amp;id=urn:contentItem:3S4X-8C50-003B-P501-00000-00&amp;context=" TargetMode="External" /><Relationship Id="rId235" Type="http://schemas.openxmlformats.org/officeDocument/2006/relationships/hyperlink" Target="https://advance.lexis.com/api/document?collection=cases&amp;id=urn:contentItem:3S4X-2NG0-003B-5165-00000-00&amp;context=" TargetMode="External" /><Relationship Id="rId236" Type="http://schemas.openxmlformats.org/officeDocument/2006/relationships/hyperlink" Target="https://advance.lexis.com/api/document?collection=cases&amp;id=urn:contentItem:3S4W-YNJ0-001B-K46B-00000-00&amp;context=" TargetMode="External" /><Relationship Id="rId237" Type="http://schemas.openxmlformats.org/officeDocument/2006/relationships/hyperlink" Target="https://advance.lexis.com/api/document?collection=cases&amp;id=urn:contentItem:3S4X-J180-003B-P0D7-00000-00&amp;context=" TargetMode="External" /><Relationship Id="rId238" Type="http://schemas.openxmlformats.org/officeDocument/2006/relationships/hyperlink" Target="https://advance.lexis.com/api/document?collection=cases&amp;id=urn:contentItem:3S4N-TG10-003B-V4BG-00000-00&amp;context=" TargetMode="External" /><Relationship Id="rId239" Type="http://schemas.openxmlformats.org/officeDocument/2006/relationships/hyperlink" Target="https://advance.lexis.com/api/document?collection=cases&amp;id=urn:contentItem:3S4N-98S0-001T-73JM-00000-00&amp;context=" TargetMode="External" /><Relationship Id="rId24" Type="http://schemas.openxmlformats.org/officeDocument/2006/relationships/hyperlink" Target="https://advance.lexis.com/api/document?collection=cases&amp;id=urn:contentItem:3W34-G4J0-0038-X0YH-00000-00&amp;context=" TargetMode="External" /><Relationship Id="rId240" Type="http://schemas.openxmlformats.org/officeDocument/2006/relationships/hyperlink" Target="https://advance.lexis.com/api/document?collection=cases&amp;id=urn:contentItem:3S4W-YKY0-001B-K3P7-00000-00&amp;context=" TargetMode="External" /><Relationship Id="rId241" Type="http://schemas.openxmlformats.org/officeDocument/2006/relationships/hyperlink" Target="https://advance.lexis.com/api/document?collection=cases&amp;id=urn:contentItem:3X3B-DFP0-0038-Y54R-00000-00&amp;context=" TargetMode="External" /><Relationship Id="rId242" Type="http://schemas.openxmlformats.org/officeDocument/2006/relationships/hyperlink" Target="https://advance.lexis.com/api/document?collection=cases&amp;id=urn:contentItem:48KW-X1B0-0038-Y4RP-00000-00&amp;context=" TargetMode="External" /><Relationship Id="rId243" Type="http://schemas.openxmlformats.org/officeDocument/2006/relationships/hyperlink" Target="https://advance.lexis.com/api/document?collection=cases&amp;id=urn:contentItem:594D-THK1-F04F-5027-00000-00&amp;context=" TargetMode="External" /><Relationship Id="rId244" Type="http://schemas.openxmlformats.org/officeDocument/2006/relationships/hyperlink" Target="https://advance.lexis.com/api/document?collection=cases&amp;id=urn:contentItem:47MJ-PFB0-0038-X427-00000-00&amp;context=" TargetMode="External" /><Relationship Id="rId245" Type="http://schemas.openxmlformats.org/officeDocument/2006/relationships/hyperlink" Target="https://advance.lexis.com/api/document?collection=cases&amp;id=urn:contentItem:48F0-J940-0038-X19Y-00000-00&amp;context=" TargetMode="External" /><Relationship Id="rId246" Type="http://schemas.openxmlformats.org/officeDocument/2006/relationships/hyperlink" Target="https://advance.lexis.com/api/document?collection=cases&amp;id=urn:contentItem:458F-RH60-0038-X05D-00000-00&amp;context=" TargetMode="External" /><Relationship Id="rId247" Type="http://schemas.openxmlformats.org/officeDocument/2006/relationships/hyperlink" Target="https://advance.lexis.com/api/document?collection=cases&amp;id=urn:contentItem:44R3-71P0-0038-X4H9-00000-00&amp;context=" TargetMode="External" /><Relationship Id="rId248" Type="http://schemas.openxmlformats.org/officeDocument/2006/relationships/hyperlink" Target="https://advance.lexis.com/api/document?collection=cases&amp;id=urn:contentItem:4405-X5S0-0038-X1RK-00000-00&amp;context=" TargetMode="External" /><Relationship Id="rId249" Type="http://schemas.openxmlformats.org/officeDocument/2006/relationships/hyperlink" Target="https://advance.lexis.com/api/document?collection=cases&amp;id=urn:contentItem:48GP-9SK0-0038-Y3CY-00000-00&amp;context=" TargetMode="External" /><Relationship Id="rId25" Type="http://schemas.openxmlformats.org/officeDocument/2006/relationships/hyperlink" Target="https://advance.lexis.com/api/document?collection=cases&amp;id=urn:contentItem:3SR9-89V0-0038-X2T5-00000-00&amp;context=" TargetMode="External" /><Relationship Id="rId250" Type="http://schemas.openxmlformats.org/officeDocument/2006/relationships/hyperlink" Target="https://advance.lexis.com/api/document?collection=cases&amp;id=urn:contentItem:48DP-W9V0-0038-X15J-00000-00&amp;context=" TargetMode="External" /><Relationship Id="rId251" Type="http://schemas.openxmlformats.org/officeDocument/2006/relationships/hyperlink" Target="https://advance.lexis.com/api/document?collection=cases&amp;id=urn:contentItem:4876-3S20-0038-Y4W5-00000-00&amp;context=" TargetMode="External" /><Relationship Id="rId252" Type="http://schemas.openxmlformats.org/officeDocument/2006/relationships/hyperlink" Target="https://advance.lexis.com/api/document?collection=cases&amp;id=urn:contentItem:482R-1PN0-0038-X420-00000-00&amp;context=" TargetMode="External" /><Relationship Id="rId253" Type="http://schemas.openxmlformats.org/officeDocument/2006/relationships/hyperlink" Target="https://advance.lexis.com/api/document?collection=cases&amp;id=urn:contentItem:47GN-X690-0038-Y1N6-00000-00&amp;context=" TargetMode="External" /><Relationship Id="rId254" Type="http://schemas.openxmlformats.org/officeDocument/2006/relationships/hyperlink" Target="https://advance.lexis.com/api/document?collection=cases&amp;id=urn:contentItem:4RJ3-0RF0-TXFX-42J7-00000-00&amp;context=" TargetMode="External" /><Relationship Id="rId255" Type="http://schemas.openxmlformats.org/officeDocument/2006/relationships/hyperlink" Target="https://advance.lexis.com/api/document?collection=cases&amp;id=urn:contentItem:48F4-TCJ0-0038-X1CX-00000-00&amp;context=" TargetMode="External" /><Relationship Id="rId256" Type="http://schemas.openxmlformats.org/officeDocument/2006/relationships/hyperlink" Target="https://advance.lexis.com/api/document?collection=cases&amp;id=urn:contentItem:454D-98T0-0038-Y53X-00000-00&amp;context=" TargetMode="External" /><Relationship Id="rId257" Type="http://schemas.openxmlformats.org/officeDocument/2006/relationships/hyperlink" Target="https://advance.lexis.com/api/document?collection=cases&amp;id=urn:contentItem:47RT-5SP0-0038-Y442-00000-00&amp;context=" TargetMode="External" /><Relationship Id="rId258" Type="http://schemas.openxmlformats.org/officeDocument/2006/relationships/hyperlink" Target="https://advance.lexis.com/api/document?collection=cases&amp;id=urn:contentItem:4FSX-4630-0038-X26N-00000-00&amp;context=" TargetMode="External" /><Relationship Id="rId259" Type="http://schemas.openxmlformats.org/officeDocument/2006/relationships/hyperlink" Target="https://advance.lexis.com/api/document?collection=cases&amp;id=urn:contentItem:4D1D-WFW0-0038-X2XC-00000-00&amp;context=" TargetMode="External" /><Relationship Id="rId26" Type="http://schemas.openxmlformats.org/officeDocument/2006/relationships/hyperlink" Target="https://advance.lexis.com/api/document?collection=statutes-legislation&amp;id=urn:contentItem:8S6M-T0S2-D6RV-H46X-00000-00&amp;context=" TargetMode="External" /><Relationship Id="rId260" Type="http://schemas.openxmlformats.org/officeDocument/2006/relationships/hyperlink" Target="https://advance.lexis.com/api/document?collection=cases&amp;id=urn:contentItem:4CJ6-P500-0038-X23P-00000-00&amp;context=" TargetMode="External" /><Relationship Id="rId261" Type="http://schemas.openxmlformats.org/officeDocument/2006/relationships/hyperlink" Target="https://advance.lexis.com/api/document?collection=cases&amp;id=urn:contentItem:48H8-1350-0038-Y3MC-00000-00&amp;context=" TargetMode="External" /><Relationship Id="rId262" Type="http://schemas.openxmlformats.org/officeDocument/2006/relationships/hyperlink" Target="https://advance.lexis.com/api/document?collection=cases&amp;id=urn:contentItem:47T6-RT80-0038-Y4S3-00000-00&amp;context=" TargetMode="External" /><Relationship Id="rId263" Type="http://schemas.openxmlformats.org/officeDocument/2006/relationships/hyperlink" Target="https://advance.lexis.com/api/document?collection=cases&amp;id=urn:contentItem:48YN-MGP0-0038-X0B9-00000-00&amp;context=" TargetMode="External" /><Relationship Id="rId264" Type="http://schemas.openxmlformats.org/officeDocument/2006/relationships/hyperlink" Target="https://advance.lexis.com/api/document?collection=cases&amp;id=urn:contentItem:429P-8YT0-0038-X1Y4-00000-00&amp;context=" TargetMode="External" /><Relationship Id="rId265" Type="http://schemas.openxmlformats.org/officeDocument/2006/relationships/hyperlink" Target="https://advance.lexis.com/api/document?collection=cases&amp;id=urn:contentItem:3S4X-9GD0-001B-K3HX-00000-00&amp;context=" TargetMode="External" /><Relationship Id="rId266" Type="http://schemas.openxmlformats.org/officeDocument/2006/relationships/hyperlink" Target="https://advance.lexis.com/api/document?collection=cases&amp;id=urn:contentItem:4GHC-B010-0038-Y2PN-00000-00&amp;context=" TargetMode="External" /><Relationship Id="rId267" Type="http://schemas.openxmlformats.org/officeDocument/2006/relationships/hyperlink" Target="https://advance.lexis.com/api/document?collection=cases&amp;id=urn:contentItem:491M-8KG0-0038-X104-00000-00&amp;context=" TargetMode="External" /><Relationship Id="rId268" Type="http://schemas.openxmlformats.org/officeDocument/2006/relationships/hyperlink" Target="https://advance.lexis.com/api/document?collection=cases&amp;id=urn:contentItem:3S4X-CWC0-003B-S3X4-00000-00&amp;context=" TargetMode="External" /><Relationship Id="rId269" Type="http://schemas.openxmlformats.org/officeDocument/2006/relationships/hyperlink" Target="https://advance.lexis.com/api/document?collection=statutes-legislation&amp;id=urn:contentItem:8SG9-5HW2-D6RV-H0V4-00000-00&amp;context=" TargetMode="External" /><Relationship Id="rId27" Type="http://schemas.openxmlformats.org/officeDocument/2006/relationships/hyperlink" Target="https://advance.lexis.com/api/document?collection=cases&amp;id=urn:contentItem:3S36-5V70-00B1-D1F5-00000-00&amp;context=" TargetMode="External" /><Relationship Id="rId270" Type="http://schemas.openxmlformats.org/officeDocument/2006/relationships/hyperlink" Target="https://advance.lexis.com/api/document?collection=cases&amp;id=urn:contentItem:3S4X-6GB0-003B-716Y-00000-00&amp;context=" TargetMode="External" /><Relationship Id="rId271" Type="http://schemas.openxmlformats.org/officeDocument/2006/relationships/hyperlink" Target="https://advance.lexis.com/api/document?collection=cases&amp;id=urn:contentItem:3S4X-2R20-003B-7007-00000-00&amp;context=" TargetMode="External" /><Relationship Id="rId272" Type="http://schemas.openxmlformats.org/officeDocument/2006/relationships/hyperlink" Target="https://advance.lexis.com/api/document?collection=cases&amp;id=urn:contentItem:3S4N-C6P0-003B-V3DY-00000-00&amp;context=" TargetMode="External" /><Relationship Id="rId273" Type="http://schemas.openxmlformats.org/officeDocument/2006/relationships/hyperlink" Target="https://advance.lexis.com/api/document?collection=cases&amp;id=urn:contentItem:3S4X-8XY0-0039-P2T5-00000-00&amp;context=" TargetMode="External" /><Relationship Id="rId274" Type="http://schemas.openxmlformats.org/officeDocument/2006/relationships/hyperlink" Target="https://advance.lexis.com/api/document?collection=cases&amp;id=urn:contentItem:3S4N-8FD0-00B1-F32M-00000-00&amp;context=" TargetMode="External" /><Relationship Id="rId275" Type="http://schemas.openxmlformats.org/officeDocument/2006/relationships/hyperlink" Target="https://advance.lexis.com/api/document?collection=analytical-materials&amp;id=urn:contentItem:4B9T-9KC0-00CV-80MW-00000-00&amp;context=" TargetMode="External" /><Relationship Id="rId276" Type="http://schemas.openxmlformats.org/officeDocument/2006/relationships/hyperlink" Target="https://advance.lexis.com/api/document?collection=cases&amp;id=urn:contentItem:3S4N-H5H0-001T-64KF-00000-00&amp;context=" TargetMode="External" /><Relationship Id="rId277" Type="http://schemas.openxmlformats.org/officeDocument/2006/relationships/hyperlink" Target="https://advance.lexis.com/api/document?collection=cases&amp;id=urn:contentItem:4B85-JBT0-0038-X4M3-00000-00&amp;context=" TargetMode="External" /><Relationship Id="rId278" Type="http://schemas.openxmlformats.org/officeDocument/2006/relationships/hyperlink" Target="https://advance.lexis.com/api/document?collection=cases&amp;id=urn:contentItem:3S4N-G6W0-00B1-F0CD-00000-00&amp;context=" TargetMode="External" /><Relationship Id="rId279" Type="http://schemas.openxmlformats.org/officeDocument/2006/relationships/hyperlink" Target="https://advance.lexis.com/api/document?collection=cases&amp;id=urn:contentItem:45GT-J2X0-0038-Y4YH-00000-00&amp;context=" TargetMode="External" /><Relationship Id="rId28" Type="http://schemas.openxmlformats.org/officeDocument/2006/relationships/hyperlink" Target="https://advance.lexis.com/api/document?collection=cases&amp;id=urn:contentItem:3RSF-SNT0-0038-Y29S-00000-00&amp;context=" TargetMode="External" /><Relationship Id="rId280" Type="http://schemas.openxmlformats.org/officeDocument/2006/relationships/hyperlink" Target="https://advance.lexis.com/api/document?collection=cases&amp;id=urn:contentItem:49JJ-7HW0-0038-Y0D5-00000-00&amp;context=" TargetMode="External" /><Relationship Id="rId281" Type="http://schemas.openxmlformats.org/officeDocument/2006/relationships/hyperlink" Target="https://advance.lexis.com/api/document?collection=cases&amp;id=urn:contentItem:3S4N-KCN0-00B1-F3XN-00000-00&amp;context=" TargetMode="External" /><Relationship Id="rId282" Type="http://schemas.openxmlformats.org/officeDocument/2006/relationships/hyperlink" Target="https://advance.lexis.com/api/document?collection=cases&amp;id=urn:contentItem:484V-FFP0-0038-Y3VH-00000-00&amp;context=" TargetMode="External" /><Relationship Id="rId283" Type="http://schemas.openxmlformats.org/officeDocument/2006/relationships/hyperlink" Target="https://advance.lexis.com/api/document?collection=analytical-materials&amp;id=urn:contentItem:48CN-F920-00SW-40P8-00000-00&amp;context=" TargetMode="External" /><Relationship Id="rId284" Type="http://schemas.openxmlformats.org/officeDocument/2006/relationships/hyperlink" Target="https://advance.lexis.com/api/document?collection=cases&amp;id=urn:contentItem:4JRR-S9G0-0038-X465-00000-00&amp;context=" TargetMode="External" /><Relationship Id="rId285" Type="http://schemas.openxmlformats.org/officeDocument/2006/relationships/hyperlink" Target="https://advance.lexis.com/api/document?collection=cases&amp;id=urn:contentItem:4956-2760-0038-X2B2-00000-00&amp;context=" TargetMode="External" /><Relationship Id="rId286" Type="http://schemas.openxmlformats.org/officeDocument/2006/relationships/hyperlink" Target="https://advance.lexis.com/api/document?collection=cases&amp;id=urn:contentItem:4993-8340-0038-X48G-00000-00&amp;context=" TargetMode="External" /><Relationship Id="rId287" Type="http://schemas.openxmlformats.org/officeDocument/2006/relationships/hyperlink" Target="https://advance.lexis.com/api/document?collection=cases&amp;id=urn:contentItem:41W4-08N0-0038-X0BM-00000-00&amp;context=" TargetMode="External" /><Relationship Id="rId288" Type="http://schemas.openxmlformats.org/officeDocument/2006/relationships/hyperlink" Target="https://advance.lexis.com/api/document?collection=cases&amp;id=urn:contentItem:3S4X-6870-003B-P0CX-00000-00&amp;context=" TargetMode="External" /><Relationship Id="rId289" Type="http://schemas.openxmlformats.org/officeDocument/2006/relationships/hyperlink" Target="https://advance.lexis.com/api/document?collection=cases&amp;id=urn:contentItem:46R5-BJV0-0038-X3JF-00000-00&amp;context=" TargetMode="External" /><Relationship Id="rId29" Type="http://schemas.openxmlformats.org/officeDocument/2006/relationships/hyperlink" Target="https://advance.lexis.com/api/document?collection=cases&amp;id=urn:contentItem:3RH5-FP40-00B1-F06M-00000-00&amp;context=" TargetMode="External" /><Relationship Id="rId290" Type="http://schemas.openxmlformats.org/officeDocument/2006/relationships/hyperlink" Target="https://advance.lexis.com/api/document?collection=cases&amp;id=urn:contentItem:4B1S-DWG0-0038-Y198-00000-00&amp;context=" TargetMode="External" /><Relationship Id="rId291" Type="http://schemas.openxmlformats.org/officeDocument/2006/relationships/hyperlink" Target="https://advance.lexis.com/api/document?collection=cases&amp;id=urn:contentItem:4418-K2Y0-0038-Y1J4-00000-00&amp;context=" TargetMode="External" /><Relationship Id="rId292" Type="http://schemas.openxmlformats.org/officeDocument/2006/relationships/hyperlink" Target="https://advance.lexis.com/api/document?collection=cases&amp;id=urn:contentItem:3S4W-YD60-008H-V1PV-00000-00&amp;context=" TargetMode="External" /><Relationship Id="rId293" Type="http://schemas.openxmlformats.org/officeDocument/2006/relationships/hyperlink" Target="https://advance.lexis.com/api/document?collection=cases&amp;id=urn:contentItem:4XMC-T310-TXFR-026G-00000-00&amp;context=" TargetMode="External" /><Relationship Id="rId294" Type="http://schemas.openxmlformats.org/officeDocument/2006/relationships/hyperlink" Target="https://advance.lexis.com/api/document?collection=cases&amp;id=urn:contentItem:4F43-JYC0-TVW3-P23W-00000-00&amp;context=" TargetMode="External" /><Relationship Id="rId295" Type="http://schemas.openxmlformats.org/officeDocument/2006/relationships/hyperlink" Target="https://advance.lexis.com/api/document?collection=cases&amp;id=urn:contentItem:4V2W-1YF0-TXFR-02CT-00000-00&amp;context=" TargetMode="External" /><Relationship Id="rId296" Type="http://schemas.openxmlformats.org/officeDocument/2006/relationships/hyperlink" Target="https://advance.lexis.com/api/document?collection=cases&amp;id=urn:contentItem:4VGY-4900-TXFR-J2WH-00000-00&amp;context=" TargetMode="External" /><Relationship Id="rId297" Type="http://schemas.openxmlformats.org/officeDocument/2006/relationships/hyperlink" Target="https://advance.lexis.com/api/document?collection=cases&amp;id=urn:contentItem:4FBH-R8R0-TVW3-P2PN-00000-00&amp;context=" TargetMode="External" /><Relationship Id="rId298" Type="http://schemas.openxmlformats.org/officeDocument/2006/relationships/hyperlink" Target="https://advance.lexis.com/api/document?collection=cases&amp;id=urn:contentItem:4CDC-71M0-0038-Y4CH-00000-00&amp;context=" TargetMode="External" /><Relationship Id="rId299" Type="http://schemas.openxmlformats.org/officeDocument/2006/relationships/hyperlink" Target="https://advance.lexis.com/api/document?collection=cases&amp;id=urn:contentItem:4680-WS40-0038-Y0TC-00000-00&amp;context=" TargetMode="External" /><Relationship Id="rId3" Type="http://schemas.openxmlformats.org/officeDocument/2006/relationships/hyperlink" Target="https://advance.lexis.com/api/document?collection=analytical-materials&amp;id=urn:contentItem:573F-94W0-00CW-808S-00000-00&amp;context=" TargetMode="External" /><Relationship Id="rId30" Type="http://schemas.openxmlformats.org/officeDocument/2006/relationships/hyperlink" Target="https://advance.lexis.com/api/document?collection=cases&amp;id=urn:contentItem:3X6B-14G0-0038-X43M-00000-00&amp;context=" TargetMode="External" /><Relationship Id="rId300" Type="http://schemas.openxmlformats.org/officeDocument/2006/relationships/hyperlink" Target="https://advance.lexis.com/api/document?collection=cases&amp;id=urn:contentItem:43T3-D620-0038-Y3R4-00000-00&amp;context=" TargetMode="External" /><Relationship Id="rId301" Type="http://schemas.openxmlformats.org/officeDocument/2006/relationships/hyperlink" Target="https://advance.lexis.com/api/document?collection=cases&amp;id=urn:contentItem:47XM-8WT0-0038-Y153-00000-00&amp;context=" TargetMode="External" /><Relationship Id="rId302" Type="http://schemas.openxmlformats.org/officeDocument/2006/relationships/hyperlink" Target="https://advance.lexis.com/api/document?collection=cases&amp;id=urn:contentItem:49JJ-7FS0-0038-X28K-00000-00&amp;context=" TargetMode="External" /><Relationship Id="rId303" Type="http://schemas.openxmlformats.org/officeDocument/2006/relationships/hyperlink" Target="https://advance.lexis.com/api/document?collection=cases&amp;id=urn:contentItem:46K3-D3M0-0038-Y527-00000-00&amp;context=" TargetMode="External" /><Relationship Id="rId304" Type="http://schemas.openxmlformats.org/officeDocument/2006/relationships/hyperlink" Target="https://advance.lexis.com/api/document?collection=cases&amp;id=urn:contentItem:49CV-VR00-0038-X0HB-00000-00&amp;context=" TargetMode="External" /><Relationship Id="rId305" Type="http://schemas.openxmlformats.org/officeDocument/2006/relationships/hyperlink" Target="https://advance.lexis.com/api/document?collection=cases&amp;id=urn:contentItem:49TR-1DD0-0038-Y3MN-00000-00&amp;context=" TargetMode="External" /><Relationship Id="rId306" Type="http://schemas.openxmlformats.org/officeDocument/2006/relationships/hyperlink" Target="https://advance.lexis.com/api/document?collection=cases&amp;id=urn:contentItem:3S4W-T7X0-003B-T0XV-00000-00&amp;context=" TargetMode="External" /><Relationship Id="rId307" Type="http://schemas.openxmlformats.org/officeDocument/2006/relationships/hyperlink" Target="https://advance.lexis.com/api/document?collection=cases&amp;id=urn:contentItem:435M-P740-0038-Y1DB-00000-00&amp;context=" TargetMode="External" /><Relationship Id="rId308" Type="http://schemas.openxmlformats.org/officeDocument/2006/relationships/hyperlink" Target="https://advance.lexis.com/api/document?collection=statutes-legislation&amp;id=urn:contentItem:8SG9-5032-D6RV-H548-00000-00&amp;context=" TargetMode="External" /><Relationship Id="rId309" Type="http://schemas.openxmlformats.org/officeDocument/2006/relationships/hyperlink" Target="https://advance.lexis.com/api/document?collection=statutes-legislation&amp;id=urn:contentItem:8SG9-5HW2-D6RV-H0V3-00000-00&amp;context=" TargetMode="External" /><Relationship Id="rId31" Type="http://schemas.openxmlformats.org/officeDocument/2006/relationships/hyperlink" Target="https://advance.lexis.com/api/document?collection=cases&amp;id=urn:contentItem:3WJV-H0S0-0038-X461-00000-00&amp;context=" TargetMode="External" /><Relationship Id="rId310" Type="http://schemas.openxmlformats.org/officeDocument/2006/relationships/hyperlink" Target="https://advance.lexis.com/api/document?collection=cases&amp;id=urn:contentItem:3S4X-3S80-003B-71K5-00000-00&amp;context=" TargetMode="External" /><Relationship Id="rId311" Type="http://schemas.openxmlformats.org/officeDocument/2006/relationships/hyperlink" Target="https://advance.lexis.com/api/document?collection=cases&amp;id=urn:contentItem:3S4X-5FX0-003B-H508-00000-00&amp;context=" TargetMode="External" /><Relationship Id="rId312" Type="http://schemas.openxmlformats.org/officeDocument/2006/relationships/hyperlink" Target="https://advance.lexis.com/api/document?collection=cases&amp;id=urn:contentItem:3S4X-GXM0-003B-P0HN-00000-00&amp;context=" TargetMode="External" /><Relationship Id="rId313" Type="http://schemas.openxmlformats.org/officeDocument/2006/relationships/hyperlink" Target="https://advance.lexis.com/api/document?collection=cases&amp;id=urn:contentItem:492X-3R80-0038-Y4TG-00000-00&amp;context=" TargetMode="External" /><Relationship Id="rId314" Type="http://schemas.openxmlformats.org/officeDocument/2006/relationships/hyperlink" Target="https://advance.lexis.com/api/document?collection=cases&amp;id=urn:contentItem:4VC2-PCF0-TXFX-41T6-00000-00&amp;context=" TargetMode="External" /><Relationship Id="rId315" Type="http://schemas.openxmlformats.org/officeDocument/2006/relationships/hyperlink" Target="https://advance.lexis.com/api/document?collection=cases&amp;id=urn:contentItem:4GHS-8NF0-0038-X436-00000-00&amp;context=" TargetMode="External" /><Relationship Id="rId316" Type="http://schemas.openxmlformats.org/officeDocument/2006/relationships/hyperlink" Target="https://advance.lexis.com/api/document?collection=cases&amp;id=urn:contentItem:4DR6-C300-0038-X502-00000-00&amp;context=" TargetMode="External" /><Relationship Id="rId317" Type="http://schemas.openxmlformats.org/officeDocument/2006/relationships/hyperlink" Target="https://advance.lexis.com/api/document?collection=cases&amp;id=urn:contentItem:4DPC-CGD0-0038-X4RM-00000-00&amp;context=" TargetMode="External" /><Relationship Id="rId318" Type="http://schemas.openxmlformats.org/officeDocument/2006/relationships/hyperlink" Target="https://advance.lexis.com/api/document?collection=cases&amp;id=urn:contentItem:4M0M-1V70-0038-X11X-00000-00&amp;context=" TargetMode="External" /><Relationship Id="rId319" Type="http://schemas.openxmlformats.org/officeDocument/2006/relationships/hyperlink" Target="https://advance.lexis.com/api/document?collection=cases&amp;id=urn:contentItem:4D6S-6130-0038-X059-00000-00&amp;context=" TargetMode="External" /><Relationship Id="rId32" Type="http://schemas.openxmlformats.org/officeDocument/2006/relationships/hyperlink" Target="https://advance.lexis.com/api/document?collection=cases&amp;id=urn:contentItem:3S4X-J7R0-003B-S3M8-00000-00&amp;context=" TargetMode="External" /><Relationship Id="rId320" Type="http://schemas.openxmlformats.org/officeDocument/2006/relationships/hyperlink" Target="https://advance.lexis.com/api/document?collection=cases&amp;id=urn:contentItem:4CJV-KR70-0038-X26B-00000-00&amp;context=" TargetMode="External" /><Relationship Id="rId321" Type="http://schemas.openxmlformats.org/officeDocument/2006/relationships/hyperlink" Target="https://advance.lexis.com/api/document?collection=cases&amp;id=urn:contentItem:4BFG-TXW0-0038-X11J-00000-00&amp;context=" TargetMode="External" /><Relationship Id="rId322" Type="http://schemas.openxmlformats.org/officeDocument/2006/relationships/hyperlink" Target="https://advance.lexis.com/api/document?collection=cases&amp;id=urn:contentItem:4922-6YX0-0038-X17J-00000-00&amp;context=" TargetMode="External" /><Relationship Id="rId323" Type="http://schemas.openxmlformats.org/officeDocument/2006/relationships/hyperlink" Target="https://advance.lexis.com/api/document?collection=cases&amp;id=urn:contentItem:4B2D-BDF0-0038-Y1SW-00000-00&amp;context=" TargetMode="External" /><Relationship Id="rId324" Type="http://schemas.openxmlformats.org/officeDocument/2006/relationships/hyperlink" Target="https://advance.lexis.com/api/document?collection=cases&amp;id=urn:contentItem:42YN-J0B0-0038-Y4VG-00000-00&amp;context=" TargetMode="External" /><Relationship Id="rId325" Type="http://schemas.openxmlformats.org/officeDocument/2006/relationships/hyperlink" Target="https://advance.lexis.com/api/document?collection=cases&amp;id=urn:contentItem:45Y2-7GN0-0038-X3N3-00000-00&amp;context=" TargetMode="External" /><Relationship Id="rId326" Type="http://schemas.openxmlformats.org/officeDocument/2006/relationships/hyperlink" Target="https://advance.lexis.com/api/document?collection=cases&amp;id=urn:contentItem:5CRC-V951-F04K-V3CX-00000-00&amp;context=" TargetMode="External" /><Relationship Id="rId327" Type="http://schemas.openxmlformats.org/officeDocument/2006/relationships/hyperlink" Target="https://advance.lexis.com/api/document?collection=cases&amp;id=urn:contentItem:5FRT-WJT1-F04F-J09J-00000-00&amp;context=" TargetMode="External" /><Relationship Id="rId328" Type="http://schemas.openxmlformats.org/officeDocument/2006/relationships/hyperlink" Target="https://advance.lexis.com/api/document?collection=cases&amp;id=urn:contentItem:5C67-1041-F04D-10FY-00000-00&amp;context=" TargetMode="External" /><Relationship Id="rId329" Type="http://schemas.openxmlformats.org/officeDocument/2006/relationships/hyperlink" Target="https://advance.lexis.com/api/document?collection=cases&amp;id=urn:contentItem:4CV9-K430-0038-X0SW-00000-00&amp;context=" TargetMode="External" /><Relationship Id="rId33" Type="http://schemas.openxmlformats.org/officeDocument/2006/relationships/hyperlink" Target="https://advance.lexis.com/api/document?collection=cases&amp;id=urn:contentItem:3S4X-JBN0-003B-S227-00000-00&amp;context=" TargetMode="External" /><Relationship Id="rId330" Type="http://schemas.openxmlformats.org/officeDocument/2006/relationships/hyperlink" Target="https://advance.lexis.com/api/document?collection=cases&amp;id=urn:contentItem:3S4W-7960-004C-1007-00000-00&amp;context=" TargetMode="External" /><Relationship Id="rId331" Type="http://schemas.openxmlformats.org/officeDocument/2006/relationships/hyperlink" Target="https://advance.lexis.com/api/document?collection=cases&amp;id=urn:contentItem:3S4X-7T80-003B-416X-00000-00&amp;context=" TargetMode="External" /><Relationship Id="rId332" Type="http://schemas.openxmlformats.org/officeDocument/2006/relationships/hyperlink" Target="https://advance.lexis.com/api/document?collection=cases&amp;id=urn:contentItem:8337-8G91-652R-112P-00000-00&amp;context=" TargetMode="External" /><Relationship Id="rId333" Type="http://schemas.openxmlformats.org/officeDocument/2006/relationships/hyperlink" Target="https://advance.lexis.com/api/document?collection=cases&amp;id=urn:contentItem:3WHJ-M270-0038-Y4G7-00000-00&amp;context=" TargetMode="External" /><Relationship Id="rId334" Type="http://schemas.openxmlformats.org/officeDocument/2006/relationships/hyperlink" Target="https://advance.lexis.com/api/document?collection=cases&amp;id=urn:contentItem:46SN-MSX0-0038-Y2J8-00000-00&amp;context=" TargetMode="External" /><Relationship Id="rId335" Type="http://schemas.openxmlformats.org/officeDocument/2006/relationships/hyperlink" Target="https://advance.lexis.com/api/document?collection=cases&amp;id=urn:contentItem:47KH-WC80-0038-X3V5-00000-00&amp;context=" TargetMode="External" /><Relationship Id="rId336" Type="http://schemas.openxmlformats.org/officeDocument/2006/relationships/hyperlink" Target="https://advance.lexis.com/api/document?collection=cases&amp;id=urn:contentItem:479T-XMN0-0038-X05Y-00000-00&amp;context=" TargetMode="External" /><Relationship Id="rId337" Type="http://schemas.openxmlformats.org/officeDocument/2006/relationships/hyperlink" Target="https://advance.lexis.com/api/document?collection=cases&amp;id=urn:contentItem:464Y-JRB0-0038-X1Y9-00000-00&amp;context=" TargetMode="External" /><Relationship Id="rId338" Type="http://schemas.openxmlformats.org/officeDocument/2006/relationships/hyperlink" Target="https://advance.lexis.com/api/document?collection=cases&amp;id=urn:contentItem:43XP-X7M0-0038-X0VR-00000-00&amp;context=" TargetMode="External" /><Relationship Id="rId339" Type="http://schemas.openxmlformats.org/officeDocument/2006/relationships/hyperlink" Target="https://advance.lexis.com/api/document?collection=cases&amp;id=urn:contentItem:4753-72H0-0038-Y2PP-00000-00&amp;context=" TargetMode="External" /><Relationship Id="rId34" Type="http://schemas.openxmlformats.org/officeDocument/2006/relationships/hyperlink" Target="https://advance.lexis.com/api/document?collection=cases&amp;id=urn:contentItem:3S4X-JTF0-003B-S4V6-00000-00&amp;context=" TargetMode="External" /><Relationship Id="rId340" Type="http://schemas.openxmlformats.org/officeDocument/2006/relationships/hyperlink" Target="https://advance.lexis.com/api/document?collection=cases&amp;id=urn:contentItem:487V-B8R0-0038-X1CY-00000-00&amp;context=" TargetMode="External" /><Relationship Id="rId341" Type="http://schemas.openxmlformats.org/officeDocument/2006/relationships/hyperlink" Target="https://advance.lexis.com/api/document?collection=cases&amp;id=urn:contentItem:3X94-FNJ0-0038-X111-00000-00&amp;context=" TargetMode="External" /><Relationship Id="rId342" Type="http://schemas.openxmlformats.org/officeDocument/2006/relationships/hyperlink" Target="https://advance.lexis.com/api/document?collection=cases&amp;id=urn:contentItem:466N-TRR0-0038-Y086-00000-00&amp;context=" TargetMode="External" /><Relationship Id="rId343" Type="http://schemas.openxmlformats.org/officeDocument/2006/relationships/hyperlink" Target="https://advance.lexis.com/api/document?collection=cases&amp;id=urn:contentItem:46GT-2110-0038-X0NR-00000-00&amp;context=" TargetMode="External" /><Relationship Id="rId344" Type="http://schemas.openxmlformats.org/officeDocument/2006/relationships/hyperlink" Target="https://advance.lexis.com/api/document?collection=cases&amp;id=urn:contentItem:493F-ST90-0038-Y010-00000-00&amp;context=" TargetMode="External" /><Relationship Id="rId345" Type="http://schemas.openxmlformats.org/officeDocument/2006/relationships/hyperlink" Target="https://advance.lexis.com/api/document?collection=cases&amp;id=urn:contentItem:3S4X-0XD0-001B-K3KG-00000-00&amp;context=" TargetMode="External" /><Relationship Id="rId346" Type="http://schemas.openxmlformats.org/officeDocument/2006/relationships/hyperlink" Target="https://advance.lexis.com/api/document?collection=cases&amp;id=urn:contentItem:469X-MKB0-0038-X4G9-00000-00&amp;context=" TargetMode="External" /><Relationship Id="rId347" Type="http://schemas.openxmlformats.org/officeDocument/2006/relationships/hyperlink" Target="https://advance.lexis.com/api/document?collection=cases&amp;id=urn:contentItem:4895-3050-0038-X00V-00000-00&amp;context=" TargetMode="External" /><Relationship Id="rId348" Type="http://schemas.openxmlformats.org/officeDocument/2006/relationships/hyperlink" Target="https://advance.lexis.com/api/document?collection=cases&amp;id=urn:contentItem:46C0-GBW0-0038-X4SN-00000-00&amp;context=" TargetMode="External" /><Relationship Id="rId349" Type="http://schemas.openxmlformats.org/officeDocument/2006/relationships/hyperlink" Target="https://advance.lexis.com/api/document?collection=cases&amp;id=urn:contentItem:4B7P-CVC0-0038-Y3PY-00000-00&amp;context=" TargetMode="External" /><Relationship Id="rId35" Type="http://schemas.openxmlformats.org/officeDocument/2006/relationships/hyperlink" Target="https://advance.lexis.com/api/document?collection=cases&amp;id=urn:contentItem:3S4X-8260-003B-744F-00000-00&amp;context=" TargetMode="External" /><Relationship Id="rId350" Type="http://schemas.openxmlformats.org/officeDocument/2006/relationships/hyperlink" Target="https://advance.lexis.com/api/document?collection=cases&amp;id=urn:contentItem:3S4X-GR70-003B-P47G-00000-00&amp;context=" TargetMode="External" /><Relationship Id="rId351" Type="http://schemas.openxmlformats.org/officeDocument/2006/relationships/hyperlink" Target="https://advance.lexis.com/api/document?collection=cases&amp;id=urn:contentItem:3S4X-DW90-003B-P36S-00000-00&amp;context=" TargetMode="External" /><Relationship Id="rId352" Type="http://schemas.openxmlformats.org/officeDocument/2006/relationships/hyperlink" Target="https://advance.lexis.com/api/document?collection=cases&amp;id=urn:contentItem:3YCV-8D20-0038-X3B5-00000-00&amp;context=" TargetMode="External" /><Relationship Id="rId353" Type="http://schemas.openxmlformats.org/officeDocument/2006/relationships/hyperlink" Target="https://advance.lexis.com/api/document?collection=cases&amp;id=urn:contentItem:3S4X-DPF0-008H-V1DJ-00000-00&amp;context=" TargetMode="External" /><Relationship Id="rId354" Type="http://schemas.openxmlformats.org/officeDocument/2006/relationships/hyperlink" Target="https://advance.lexis.com/api/document?collection=cases&amp;id=urn:contentItem:4BGH-SBM0-0038-X1HH-00000-00&amp;context=" TargetMode="External" /><Relationship Id="rId355" Type="http://schemas.openxmlformats.org/officeDocument/2006/relationships/hyperlink" Target="https://advance.lexis.com/api/document?collection=cases&amp;id=urn:contentItem:49XJ-W910-0038-Y4X9-00000-00&amp;context=" TargetMode="External" /><Relationship Id="rId356" Type="http://schemas.openxmlformats.org/officeDocument/2006/relationships/hyperlink" Target="https://advance.lexis.com/api/document?collection=analytical-materials&amp;id=urn:contentItem:4903-47X0-00CV-80DW-00000-00&amp;context=" TargetMode="External" /><Relationship Id="rId357" Type="http://schemas.openxmlformats.org/officeDocument/2006/relationships/hyperlink" Target="https://advance.lexis.com/api/document?collection=cases&amp;id=urn:contentItem:3S4X-2520-0039-W2YX-00000-00&amp;context=" TargetMode="External" /><Relationship Id="rId358" Type="http://schemas.openxmlformats.org/officeDocument/2006/relationships/hyperlink" Target="https://advance.lexis.com/api/document?collection=cases&amp;id=urn:contentItem:3S4X-2050-006F-M22K-00000-00&amp;context=" TargetMode="External" /><Relationship Id="rId359" Type="http://schemas.openxmlformats.org/officeDocument/2006/relationships/hyperlink" Target="https://advance.lexis.com/api/document?collection=cases&amp;id=urn:contentItem:3S4X-0510-0039-M022-00000-00&amp;context=" TargetMode="External" /><Relationship Id="rId36" Type="http://schemas.openxmlformats.org/officeDocument/2006/relationships/hyperlink" Target="https://advance.lexis.com/api/document?collection=cases&amp;id=urn:contentItem:3S4X-31N0-003B-H0YV-00000-00&amp;context=" TargetMode="External" /><Relationship Id="rId360" Type="http://schemas.openxmlformats.org/officeDocument/2006/relationships/hyperlink" Target="https://advance.lexis.com/api/document?collection=statutes-legislation&amp;id=urn:contentItem:8SG9-5HW2-D6RV-H0RJ-00000-00&amp;context=" TargetMode="External" /><Relationship Id="rId361" Type="http://schemas.openxmlformats.org/officeDocument/2006/relationships/hyperlink" Target="https://advance.lexis.com/api/document?collection=cases&amp;id=urn:contentItem:49K0-5TM0-0038-X2K0-00000-00&amp;context=" TargetMode="External" /><Relationship Id="rId362" Type="http://schemas.openxmlformats.org/officeDocument/2006/relationships/hyperlink" Target="https://advance.lexis.com/api/document?collection=cases&amp;id=urn:contentItem:48GX-8Y40-0038-X27R-00000-00&amp;context=" TargetMode="External" /><Relationship Id="rId363" Type="http://schemas.openxmlformats.org/officeDocument/2006/relationships/hyperlink" Target="https://advance.lexis.com/api/document?collection=cases&amp;id=urn:contentItem:48GM-KG40-0038-X228-00000-00&amp;context=" TargetMode="External" /><Relationship Id="rId364" Type="http://schemas.openxmlformats.org/officeDocument/2006/relationships/hyperlink" Target="https://advance.lexis.com/api/document?collection=cases&amp;id=urn:contentItem:459R-JGF0-0038-X0KP-00000-00&amp;context=" TargetMode="External" /><Relationship Id="rId365" Type="http://schemas.openxmlformats.org/officeDocument/2006/relationships/hyperlink" Target="https://advance.lexis.com/api/document?collection=cases&amp;id=urn:contentItem:4495-K3Y0-0038-X4TC-00000-00&amp;context=" TargetMode="External" /><Relationship Id="rId366" Type="http://schemas.openxmlformats.org/officeDocument/2006/relationships/hyperlink" Target="https://advance.lexis.com/api/document?collection=cases&amp;id=urn:contentItem:4B2J-37S0-0038-Y1TH-00000-00&amp;context=" TargetMode="External" /><Relationship Id="rId367" Type="http://schemas.openxmlformats.org/officeDocument/2006/relationships/hyperlink" Target="https://advance.lexis.com/api/document?collection=analytical-materials&amp;id=urn:contentItem:53X4-XJS0-R03M-M016-00000-00&amp;context=" TargetMode="External" /><Relationship Id="rId368" Type="http://schemas.openxmlformats.org/officeDocument/2006/relationships/hyperlink" Target="https://advance.lexis.com/api/document?collection=cases&amp;id=urn:contentItem:48FM-FTR0-0038-X1VB-00000-00&amp;context=" TargetMode="External" /><Relationship Id="rId369" Type="http://schemas.openxmlformats.org/officeDocument/2006/relationships/hyperlink" Target="https://advance.lexis.com/api/document?collection=cases&amp;id=urn:contentItem:3S4X-FBP0-001T-D4SY-00000-00&amp;context=" TargetMode="External" /><Relationship Id="rId37" Type="http://schemas.openxmlformats.org/officeDocument/2006/relationships/hyperlink" Target="https://advance.lexis.com/api/document?collection=cases&amp;id=urn:contentItem:3S4X-6YV0-003B-H2R5-00000-00&amp;context=" TargetMode="External" /><Relationship Id="rId370" Type="http://schemas.openxmlformats.org/officeDocument/2006/relationships/hyperlink" Target="https://advance.lexis.com/api/document?collection=cases&amp;id=urn:contentItem:3S4N-BSM0-003B-62YX-00000-00&amp;context=" TargetMode="External" /><Relationship Id="rId371" Type="http://schemas.openxmlformats.org/officeDocument/2006/relationships/hyperlink" Target="https://advance.lexis.com/api/document?collection=cases&amp;id=urn:contentItem:3S4N-GCC0-001T-74VN-00000-00&amp;context=" TargetMode="External" /><Relationship Id="rId372" Type="http://schemas.openxmlformats.org/officeDocument/2006/relationships/hyperlink" Target="https://advance.lexis.com/api/document?collection=cases&amp;id=urn:contentItem:3S4W-XGN0-0039-X4PV-00000-00&amp;context=" TargetMode="External" /><Relationship Id="rId373" Type="http://schemas.openxmlformats.org/officeDocument/2006/relationships/hyperlink" Target="https://advance.lexis.com/api/document?collection=statutes-legislation&amp;id=urn:contentItem:8SG9-5HW2-D6RV-H0V5-00000-00&amp;context=" TargetMode="External" /><Relationship Id="rId374" Type="http://schemas.openxmlformats.org/officeDocument/2006/relationships/hyperlink" Target="https://advance.lexis.com/api/document?collection=cases&amp;id=urn:contentItem:4783-9WW0-0038-X4TM-00000-00&amp;context=" TargetMode="External" /><Relationship Id="rId375" Type="http://schemas.openxmlformats.org/officeDocument/2006/relationships/hyperlink" Target="https://advance.lexis.com/api/document?collection=cases&amp;id=urn:contentItem:3S65-KTN0-003B-R234-00000-00&amp;context=" TargetMode="External" /><Relationship Id="rId376" Type="http://schemas.openxmlformats.org/officeDocument/2006/relationships/hyperlink" Target="https://advance.lexis.com/api/document?collection=cases&amp;id=urn:contentItem:3S4N-9BX0-001T-73VJ-00000-00&amp;context=" TargetMode="External" /><Relationship Id="rId377" Type="http://schemas.openxmlformats.org/officeDocument/2006/relationships/hyperlink" Target="https://advance.lexis.com/api/document?collection=statutes-legislation&amp;id=urn:contentItem:8SG9-5HW2-D6RV-H0V7-00000-00&amp;context=" TargetMode="External" /><Relationship Id="rId378" Type="http://schemas.openxmlformats.org/officeDocument/2006/relationships/hyperlink" Target="https://advance.lexis.com/api/document?collection=statutes-legislation&amp;id=urn:contentItem:8SG9-5HW2-D6RV-H0V8-00000-00&amp;context=" TargetMode="External" /><Relationship Id="rId379" Type="http://schemas.openxmlformats.org/officeDocument/2006/relationships/hyperlink" Target="https://advance.lexis.com/api/document?collection=cases&amp;id=urn:contentItem:3S4X-1CT0-003B-G157-00000-00&amp;context=" TargetMode="External" /><Relationship Id="rId38" Type="http://schemas.openxmlformats.org/officeDocument/2006/relationships/hyperlink" Target="https://advance.lexis.com/api/document?collection=cases&amp;id=urn:contentItem:3S4X-8HH0-003B-H4T3-00000-00&amp;context=" TargetMode="External" /><Relationship Id="rId380" Type="http://schemas.openxmlformats.org/officeDocument/2006/relationships/hyperlink" Target="https://advance.lexis.com/api/document?collection=statutes-legislation&amp;id=urn:contentItem:8SG9-5HW2-D6RV-H0BK-00000-00&amp;context=" TargetMode="External" /><Relationship Id="rId381" Type="http://schemas.openxmlformats.org/officeDocument/2006/relationships/hyperlink" Target="https://advance.lexis.com/api/document?collection=cases&amp;id=urn:contentItem:412W-6JY0-0038-X4CK-00000-00&amp;context=" TargetMode="External" /><Relationship Id="rId382" Type="http://schemas.openxmlformats.org/officeDocument/2006/relationships/hyperlink" Target="https://advance.lexis.com/api/document?collection=cases&amp;id=urn:contentItem:3S71-7WV0-0038-X0HJ-00000-00&amp;context=" TargetMode="External" /><Relationship Id="rId383" Type="http://schemas.openxmlformats.org/officeDocument/2006/relationships/hyperlink" Target="https://advance.lexis.com/api/document?collection=cases&amp;id=urn:contentItem:49SN-5JK0-0038-Y3BD-00000-00&amp;context=" TargetMode="External" /><Relationship Id="rId384" Type="http://schemas.openxmlformats.org/officeDocument/2006/relationships/hyperlink" Target="https://advance.lexis.com/api/document?collection=cases&amp;id=urn:contentItem:3S4X-9NJ0-003B-S50V-00000-00&amp;context=" TargetMode="External" /><Relationship Id="rId385" Type="http://schemas.openxmlformats.org/officeDocument/2006/relationships/hyperlink" Target="https://advance.lexis.com/api/document?collection=cases&amp;id=urn:contentItem:3S4X-2FK0-008H-V4XX-00000-00&amp;context=" TargetMode="External" /><Relationship Id="rId386" Type="http://schemas.openxmlformats.org/officeDocument/2006/relationships/hyperlink" Target="https://advance.lexis.com/api/document?collection=statutes-legislation&amp;id=urn:contentItem:8SG9-5HW2-D6RV-H0VC-00000-00&amp;context=" TargetMode="External" /><Relationship Id="rId387" Type="http://schemas.openxmlformats.org/officeDocument/2006/relationships/hyperlink" Target="https://advance.lexis.com/api/document?collection=cases&amp;id=urn:contentItem:47MK-M0P0-0038-Y2TT-00000-00&amp;context=" TargetMode="External" /><Relationship Id="rId388" Type="http://schemas.openxmlformats.org/officeDocument/2006/relationships/hyperlink" Target="https://advance.lexis.com/api/document?collection=statutes-legislation&amp;id=urn:contentItem:8SG9-5042-D6RV-H11S-00000-00&amp;context=" TargetMode="External" /><Relationship Id="rId389" Type="http://schemas.openxmlformats.org/officeDocument/2006/relationships/hyperlink" Target="https://advance.lexis.com/api/document?collection=cases&amp;id=urn:contentItem:4668-7SB0-0038-X2S2-00000-00&amp;context=" TargetMode="External" /><Relationship Id="rId39" Type="http://schemas.openxmlformats.org/officeDocument/2006/relationships/hyperlink" Target="https://advance.lexis.com/api/document?collection=cases&amp;id=urn:contentItem:3S4W-SSK0-003B-K3T2-00000-00&amp;context=" TargetMode="External" /><Relationship Id="rId390" Type="http://schemas.openxmlformats.org/officeDocument/2006/relationships/hyperlink" Target="https://advance.lexis.com/api/document?collection=cases&amp;id=urn:contentItem:3Y1C-PH30-0038-X3JW-00000-00&amp;context=" TargetMode="External" /><Relationship Id="rId391" Type="http://schemas.openxmlformats.org/officeDocument/2006/relationships/hyperlink" Target="https://advance.lexis.com/api/document?collection=cases&amp;id=urn:contentItem:3XRG-SRW0-0038-X354-00000-00&amp;context=" TargetMode="External" /><Relationship Id="rId392" Type="http://schemas.openxmlformats.org/officeDocument/2006/relationships/hyperlink" Target="https://advance.lexis.com/api/document?collection=cases&amp;id=urn:contentItem:3XCK-G0B0-0038-Y2X0-00000-00&amp;context=" TargetMode="External" /><Relationship Id="rId393" Type="http://schemas.openxmlformats.org/officeDocument/2006/relationships/hyperlink" Target="https://advance.lexis.com/api/document?collection=cases&amp;id=urn:contentItem:4877-BBK0-0038-Y4X8-00000-00&amp;context=" TargetMode="External" /><Relationship Id="rId394" Type="http://schemas.openxmlformats.org/officeDocument/2006/relationships/hyperlink" Target="https://advance.lexis.com/api/document?collection=cases&amp;id=urn:contentItem:5DNV-XKH1-F04D-X06Y-00000-00&amp;context=" TargetMode="External" /><Relationship Id="rId395" Type="http://schemas.openxmlformats.org/officeDocument/2006/relationships/hyperlink" Target="https://advance.lexis.com/api/document?collection=cases&amp;id=urn:contentItem:52RH-8211-F04D-K03D-00000-00&amp;context=" TargetMode="External" /><Relationship Id="rId396" Type="http://schemas.openxmlformats.org/officeDocument/2006/relationships/hyperlink" Target="https://advance.lexis.com/api/document?collection=cases&amp;id=urn:contentItem:51FF-9G91-652H-900B-00000-00&amp;context=" TargetMode="External" /><Relationship Id="rId397" Type="http://schemas.openxmlformats.org/officeDocument/2006/relationships/hyperlink" Target="https://advance.lexis.com/api/document?collection=cases&amp;id=urn:contentItem:4WGK-FMX0-TXFR-J34J-00000-00&amp;context=" TargetMode="External" /><Relationship Id="rId398" Type="http://schemas.openxmlformats.org/officeDocument/2006/relationships/hyperlink" Target="https://advance.lexis.com/api/document?collection=cases&amp;id=urn:contentItem:4GFM-W7W0-TVW3-P3BS-00000-00&amp;context=" TargetMode="External" /><Relationship Id="rId399" Type="http://schemas.openxmlformats.org/officeDocument/2006/relationships/hyperlink" Target="https://advance.lexis.com/api/document?collection=statutes-legislation&amp;id=urn:contentItem:8SG9-5HW2-D6RV-H0VG-00000-00&amp;context=" TargetMode="External" /><Relationship Id="rId4" Type="http://schemas.openxmlformats.org/officeDocument/2006/relationships/hyperlink" Target="https://advance.lexis.com/api/document?collection=analytical-materials&amp;id=urn:contentItem:4J4J-5D40-00CW-8014-00000-00&amp;context=" TargetMode="External" /><Relationship Id="rId40" Type="http://schemas.openxmlformats.org/officeDocument/2006/relationships/hyperlink" Target="https://advance.lexis.com/api/document?collection=cases&amp;id=urn:contentItem:3S4W-XSM0-003B-K03P-00000-00&amp;context=" TargetMode="External" /><Relationship Id="rId400" Type="http://schemas.openxmlformats.org/officeDocument/2006/relationships/hyperlink" Target="https://advance.lexis.com/api/document?collection=statutes-legislation&amp;id=urn:contentItem:8SG9-5HW2-D6RV-H0FT-00000-00&amp;context=" TargetMode="External" /><Relationship Id="rId401" Type="http://schemas.openxmlformats.org/officeDocument/2006/relationships/hyperlink" Target="https://advance.lexis.com/api/document?collection=cases&amp;id=urn:contentItem:3XGM-VTY0-0038-X0W1-00000-00&amp;context=" TargetMode="External" /><Relationship Id="rId402" Type="http://schemas.openxmlformats.org/officeDocument/2006/relationships/hyperlink" Target="https://advance.lexis.com/api/document?collection=cases&amp;id=urn:contentItem:4448-4XV0-0038-X2W2-00000-00&amp;context=" TargetMode="External" /><Relationship Id="rId403" Type="http://schemas.openxmlformats.org/officeDocument/2006/relationships/hyperlink" Target="https://advance.lexis.com/api/document?collection=cases&amp;id=urn:contentItem:3S4X-B8H0-001T-D4NR-00000-00&amp;context=" TargetMode="External" /><Relationship Id="rId404" Type="http://schemas.openxmlformats.org/officeDocument/2006/relationships/hyperlink" Target="https://advance.lexis.com/api/document?collection=cases&amp;id=urn:contentItem:3S4X-2D10-0039-P307-00000-00&amp;context=" TargetMode="External" /><Relationship Id="rId405" Type="http://schemas.openxmlformats.org/officeDocument/2006/relationships/hyperlink" Target="https://advance.lexis.com/api/document?collection=cases&amp;id=urn:contentItem:3S4X-JW30-0039-P0SF-00000-00&amp;context=" TargetMode="External" /><Relationship Id="rId406" Type="http://schemas.openxmlformats.org/officeDocument/2006/relationships/hyperlink" Target="https://advance.lexis.com/api/document?collection=cases&amp;id=urn:contentItem:3S4X-2TV0-003B-51V2-00000-00&amp;context=" TargetMode="External" /><Relationship Id="rId407" Type="http://schemas.openxmlformats.org/officeDocument/2006/relationships/hyperlink" Target="https://advance.lexis.com/api/document?collection=cases&amp;id=urn:contentItem:42H8-8YJ0-0038-X01S-00000-00&amp;context=" TargetMode="External" /><Relationship Id="rId408" Type="http://schemas.openxmlformats.org/officeDocument/2006/relationships/hyperlink" Target="https://advance.lexis.com/api/document?collection=cases&amp;id=urn:contentItem:3S4X-3330-003B-G338-00000-00&amp;context=" TargetMode="External" /><Relationship Id="rId409" Type="http://schemas.openxmlformats.org/officeDocument/2006/relationships/hyperlink" Target="https://advance.lexis.com/api/document?collection=cases&amp;id=urn:contentItem:3S4X-CMF0-0039-P2H9-00000-00&amp;context=" TargetMode="External" /><Relationship Id="rId41" Type="http://schemas.openxmlformats.org/officeDocument/2006/relationships/hyperlink" Target="https://advance.lexis.com/api/document?collection=cases&amp;id=urn:contentItem:3S4X-0H40-003B-K506-00000-00&amp;context=" TargetMode="External" /><Relationship Id="rId410" Type="http://schemas.openxmlformats.org/officeDocument/2006/relationships/hyperlink" Target="https://advance.lexis.com/api/document?collection=cases&amp;id=urn:contentItem:3S4X-52T0-003B-543X-00000-00&amp;context=" TargetMode="External" /><Relationship Id="rId411" Type="http://schemas.openxmlformats.org/officeDocument/2006/relationships/hyperlink" Target="https://advance.lexis.com/api/document?collection=cases&amp;id=urn:contentItem:3S4X-12W0-0039-P0XM-00000-00&amp;context=" TargetMode="External" /><Relationship Id="rId412" Type="http://schemas.openxmlformats.org/officeDocument/2006/relationships/hyperlink" Target="https://advance.lexis.com/api/document?collection=cases&amp;id=urn:contentItem:3S4X-F0B0-003B-P3N9-00000-00&amp;context=" TargetMode="External" /><Relationship Id="rId413" Type="http://schemas.openxmlformats.org/officeDocument/2006/relationships/hyperlink" Target="https://advance.lexis.com/api/document?collection=cases&amp;id=urn:contentItem:3VCY-3DK0-0038-X3XJ-00000-00&amp;context=" TargetMode="External" /><Relationship Id="rId42" Type="http://schemas.openxmlformats.org/officeDocument/2006/relationships/hyperlink" Target="https://advance.lexis.com/api/document?collection=cases&amp;id=urn:contentItem:3S4X-1H10-003B-K03N-00000-00&amp;context=" TargetMode="External" /><Relationship Id="rId43" Type="http://schemas.openxmlformats.org/officeDocument/2006/relationships/hyperlink" Target="https://advance.lexis.com/api/document?collection=cases&amp;id=urn:contentItem:3S4X-4WJ0-003B-K2GT-00000-00&amp;context=" TargetMode="External" /><Relationship Id="rId44" Type="http://schemas.openxmlformats.org/officeDocument/2006/relationships/hyperlink" Target="https://advance.lexis.com/api/document?collection=cases&amp;id=urn:contentItem:3S4X-JDK0-003B-S43D-00000-00&amp;context=" TargetMode="External" /><Relationship Id="rId45" Type="http://schemas.openxmlformats.org/officeDocument/2006/relationships/hyperlink" Target="https://advance.lexis.com/api/document?collection=cases&amp;id=urn:contentItem:3S4X-JGB0-003B-S0P8-00000-00&amp;context=" TargetMode="External" /><Relationship Id="rId46" Type="http://schemas.openxmlformats.org/officeDocument/2006/relationships/hyperlink" Target="https://advance.lexis.com/api/document?collection=cases&amp;id=urn:contentItem:3S4X-7R80-001B-K47B-00000-00&amp;context=" TargetMode="External" /><Relationship Id="rId47" Type="http://schemas.openxmlformats.org/officeDocument/2006/relationships/hyperlink" Target="https://advance.lexis.com/api/document?collection=cases&amp;id=urn:contentItem:3S4X-55G0-003B-P4PS-00000-00&amp;context=" TargetMode="External" /><Relationship Id="rId48" Type="http://schemas.openxmlformats.org/officeDocument/2006/relationships/hyperlink" Target="https://advance.lexis.com/api/document?collection=cases&amp;id=urn:contentItem:3S4X-3330-0039-P430-00000-00&amp;context=" TargetMode="External" /><Relationship Id="rId49" Type="http://schemas.openxmlformats.org/officeDocument/2006/relationships/hyperlink" Target="https://advance.lexis.com/api/document?collection=cases&amp;id=urn:contentItem:3S4X-5SH0-0039-W2B0-00000-00&amp;context=" TargetMode="External" /><Relationship Id="rId5" Type="http://schemas.openxmlformats.org/officeDocument/2006/relationships/hyperlink" Target="https://advance.lexis.com/api/document?collection=analytical-materials&amp;id=urn:contentItem:3V4G-XBS0-00CV-5002-00000-00&amp;context=" TargetMode="External" /><Relationship Id="rId50" Type="http://schemas.openxmlformats.org/officeDocument/2006/relationships/hyperlink" Target="https://advance.lexis.com/api/document?collection=cases&amp;id=urn:contentItem:3S4X-KJS0-0039-W0B5-00000-00&amp;context=" TargetMode="External" /><Relationship Id="rId51" Type="http://schemas.openxmlformats.org/officeDocument/2006/relationships/hyperlink" Target="https://advance.lexis.com/api/document?collection=statutes-legislation&amp;id=urn:contentItem:8S6M-T0S2-D6RV-H466-00000-00&amp;context=" TargetMode="External" /><Relationship Id="rId52" Type="http://schemas.openxmlformats.org/officeDocument/2006/relationships/hyperlink" Target="https://advance.lexis.com/api/document?collection=cases&amp;id=urn:contentItem:3S4X-FHY0-003B-S052-00000-00&amp;context=" TargetMode="External" /><Relationship Id="rId53" Type="http://schemas.openxmlformats.org/officeDocument/2006/relationships/hyperlink" Target="https://advance.lexis.com/api/document?collection=cases&amp;id=urn:contentItem:3S4X-GS80-003B-S332-00000-00&amp;context=" TargetMode="External" /><Relationship Id="rId54" Type="http://schemas.openxmlformats.org/officeDocument/2006/relationships/hyperlink" Target="https://advance.lexis.com/api/document?collection=cases&amp;id=urn:contentItem:3S4X-GXP0-003B-S0HF-00000-00&amp;context=" TargetMode="External" /><Relationship Id="rId55" Type="http://schemas.openxmlformats.org/officeDocument/2006/relationships/hyperlink" Target="https://advance.lexis.com/api/document?collection=cases&amp;id=urn:contentItem:3S70-NFF0-003B-R512-00000-00&amp;context=" TargetMode="External" /><Relationship Id="rId56" Type="http://schemas.openxmlformats.org/officeDocument/2006/relationships/hyperlink" Target="https://advance.lexis.com/api/document?collection=cases&amp;id=urn:contentItem:3S4X-9KF0-008H-V4D0-00000-00&amp;context=" TargetMode="External" /><Relationship Id="rId57" Type="http://schemas.openxmlformats.org/officeDocument/2006/relationships/hyperlink" Target="https://advance.lexis.com/api/document?collection=cases&amp;id=urn:contentItem:3S4X-9WW0-003B-H245-00000-00&amp;context=" TargetMode="External" /><Relationship Id="rId58" Type="http://schemas.openxmlformats.org/officeDocument/2006/relationships/hyperlink" Target="https://advance.lexis.com/api/document?collection=cases&amp;id=urn:contentItem:3S4X-H600-003B-S3KX-00000-00&amp;context=" TargetMode="External" /><Relationship Id="rId59" Type="http://schemas.openxmlformats.org/officeDocument/2006/relationships/hyperlink" Target="https://advance.lexis.com/api/document?collection=cases&amp;id=urn:contentItem:3S4X-3XY0-001B-K24X-00000-00&amp;context=" TargetMode="External" /><Relationship Id="rId6" Type="http://schemas.openxmlformats.org/officeDocument/2006/relationships/hyperlink" Target="https://advance.lexis.com/api/document?collection=analytical-materials&amp;id=urn:contentItem:3T8N-SHR0-00CW-71TP-00000-00&amp;context=" TargetMode="External" /><Relationship Id="rId60" Type="http://schemas.openxmlformats.org/officeDocument/2006/relationships/hyperlink" Target="https://advance.lexis.com/api/document?collection=cases&amp;id=urn:contentItem:4904-GB30-0038-X0M4-00000-00&amp;context=" TargetMode="External" /><Relationship Id="rId61" Type="http://schemas.openxmlformats.org/officeDocument/2006/relationships/hyperlink" Target="https://advance.lexis.com/api/document?collection=cases&amp;id=urn:contentItem:3S4X-JG80-003B-S0N4-00000-00&amp;context=" TargetMode="External" /><Relationship Id="rId62" Type="http://schemas.openxmlformats.org/officeDocument/2006/relationships/hyperlink" Target="https://advance.lexis.com/api/document?collection=cases&amp;id=urn:contentItem:3S4X-H3C0-003B-H1FK-00000-00&amp;context=" TargetMode="External" /><Relationship Id="rId63" Type="http://schemas.openxmlformats.org/officeDocument/2006/relationships/hyperlink" Target="https://advance.lexis.com/api/document?collection=cases&amp;id=urn:contentItem:3S4X-1P80-006F-M4M8-00000-00&amp;context=" TargetMode="External" /><Relationship Id="rId64" Type="http://schemas.openxmlformats.org/officeDocument/2006/relationships/hyperlink" Target="https://advance.lexis.com/api/document?collection=cases&amp;id=urn:contentItem:3S4W-X200-0039-M1V4-00000-00&amp;context=" TargetMode="External" /><Relationship Id="rId65" Type="http://schemas.openxmlformats.org/officeDocument/2006/relationships/hyperlink" Target="https://advance.lexis.com/api/document?collection=cases&amp;id=urn:contentItem:3S4N-7M80-003B-60W4-00000-00&amp;context=" TargetMode="External" /><Relationship Id="rId66" Type="http://schemas.openxmlformats.org/officeDocument/2006/relationships/hyperlink" Target="https://advance.lexis.com/api/document?collection=cases&amp;id=urn:contentItem:3S4X-CKT0-001B-K171-00000-00&amp;context=" TargetMode="External" /><Relationship Id="rId67" Type="http://schemas.openxmlformats.org/officeDocument/2006/relationships/hyperlink" Target="https://advance.lexis.com/api/document?collection=cases&amp;id=urn:contentItem:3S4N-89W0-0039-S1GV-00000-00&amp;context=" TargetMode="External" /><Relationship Id="rId68" Type="http://schemas.openxmlformats.org/officeDocument/2006/relationships/hyperlink" Target="https://advance.lexis.com/api/document?collection=cases&amp;id=urn:contentItem:3WND-2750-0038-X06K-00000-00&amp;context=" TargetMode="External" /><Relationship Id="rId69" Type="http://schemas.openxmlformats.org/officeDocument/2006/relationships/hyperlink" Target="https://advance.lexis.com/api/document?collection=cases&amp;id=urn:contentItem:3S4X-3DS0-003B-G4PX-00000-00&amp;context=" TargetMode="External" /><Relationship Id="rId7" Type="http://schemas.openxmlformats.org/officeDocument/2006/relationships/hyperlink" Target="https://advance.lexis.com/api/document?collection=analytical-materials&amp;id=urn:contentItem:3T8N-SHP0-00CW-71TN-00000-00&amp;context=" TargetMode="External" /><Relationship Id="rId70" Type="http://schemas.openxmlformats.org/officeDocument/2006/relationships/hyperlink" Target="https://advance.lexis.com/api/document?collection=cases&amp;id=urn:contentItem:3S4X-2F50-003B-G0NM-00000-00&amp;context=" TargetMode="External" /><Relationship Id="rId71" Type="http://schemas.openxmlformats.org/officeDocument/2006/relationships/hyperlink" Target="https://advance.lexis.com/api/document?collection=statutes-legislation&amp;id=urn:contentItem:8S6M-T0S2-D6RV-H48H-00000-00&amp;context=" TargetMode="External" /><Relationship Id="rId72" Type="http://schemas.openxmlformats.org/officeDocument/2006/relationships/hyperlink" Target="https://advance.lexis.com/api/document?collection=cases&amp;id=urn:contentItem:3XG0-YTN0-0038-X0BY-00000-00&amp;context=" TargetMode="External" /><Relationship Id="rId73" Type="http://schemas.openxmlformats.org/officeDocument/2006/relationships/hyperlink" Target="https://advance.lexis.com/api/document?collection=analytical-materials&amp;id=urn:contentItem:3S3M-31N0-00CV-T00S-00000-00&amp;context=" TargetMode="External" /><Relationship Id="rId74" Type="http://schemas.openxmlformats.org/officeDocument/2006/relationships/hyperlink" Target="https://advance.lexis.com/api/document?collection=cases&amp;id=urn:contentItem:3VW6-VD10-004B-Y00S-00000-00&amp;context=" TargetMode="External" /><Relationship Id="rId75" Type="http://schemas.openxmlformats.org/officeDocument/2006/relationships/hyperlink" Target="https://advance.lexis.com/api/document?collection=analytical-materials&amp;id=urn:contentItem:408R-X480-00CV-80RM-00000-00&amp;context=" TargetMode="External" /><Relationship Id="rId76" Type="http://schemas.openxmlformats.org/officeDocument/2006/relationships/hyperlink" Target="https://advance.lexis.com/api/document?collection=cases&amp;id=urn:contentItem:3X26-TX90-0038-X2PB-00000-00&amp;context=" TargetMode="External" /><Relationship Id="rId77" Type="http://schemas.openxmlformats.org/officeDocument/2006/relationships/hyperlink" Target="https://advance.lexis.com/api/document?collection=analytical-materials&amp;id=urn:contentItem:46MD-G970-00CW-1018-00000-00&amp;context=" TargetMode="External" /><Relationship Id="rId78" Type="http://schemas.openxmlformats.org/officeDocument/2006/relationships/hyperlink" Target="https://advance.lexis.com/api/document?collection=cases&amp;id=urn:contentItem:4SJ9-HG30-TXFX-11V3-00000-00&amp;context=" TargetMode="External" /><Relationship Id="rId79" Type="http://schemas.openxmlformats.org/officeDocument/2006/relationships/hyperlink" Target="https://advance.lexis.com/api/document?collection=analytical-materials&amp;id=urn:contentItem:515N-10H0-00CV-K08D-00000-00&amp;context=" TargetMode="External" /><Relationship Id="rId8" Type="http://schemas.openxmlformats.org/officeDocument/2006/relationships/hyperlink" Target="https://advance.lexis.com/api/document?collection=cases&amp;id=urn:contentItem:3XK1-CVD0-0038-X0JJ-00000-00&amp;context=" TargetMode="External" /><Relationship Id="rId80" Type="http://schemas.openxmlformats.org/officeDocument/2006/relationships/hyperlink" Target="https://advance.lexis.com/api/document?collection=cases&amp;id=urn:contentItem:47T3-0WD0-0038-X0TW-00000-00&amp;context=" TargetMode="External" /><Relationship Id="rId81" Type="http://schemas.openxmlformats.org/officeDocument/2006/relationships/hyperlink" Target="https://advance.lexis.com/api/document?collection=cases&amp;id=urn:contentItem:4759-PX80-0038-X40F-00000-00&amp;context=" TargetMode="External" /><Relationship Id="rId82" Type="http://schemas.openxmlformats.org/officeDocument/2006/relationships/hyperlink" Target="https://advance.lexis.com/api/document?collection=cases&amp;id=urn:contentItem:460J-06W0-0038-X4GS-00000-00&amp;context=" TargetMode="External" /><Relationship Id="rId83" Type="http://schemas.openxmlformats.org/officeDocument/2006/relationships/hyperlink" Target="https://advance.lexis.com/api/document?collection=cases&amp;id=urn:contentItem:4400-RFY0-0038-X1NV-00000-00&amp;context=" TargetMode="External" /><Relationship Id="rId84" Type="http://schemas.openxmlformats.org/officeDocument/2006/relationships/hyperlink" Target="https://advance.lexis.com/api/document?collection=cases&amp;id=urn:contentItem:46X4-DDH0-0038-Y49V-00000-00&amp;context=" TargetMode="External" /><Relationship Id="rId85" Type="http://schemas.openxmlformats.org/officeDocument/2006/relationships/hyperlink" Target="https://advance.lexis.com/api/document?collection=cases&amp;id=urn:contentItem:3YS8-VFJ0-0038-X4FV-00000-00&amp;context=" TargetMode="External" /><Relationship Id="rId86" Type="http://schemas.openxmlformats.org/officeDocument/2006/relationships/hyperlink" Target="https://advance.lexis.com/api/document?collection=cases&amp;id=urn:contentItem:4GMS-VTK0-0038-X54N-00000-00&amp;context=" TargetMode="External" /><Relationship Id="rId87" Type="http://schemas.openxmlformats.org/officeDocument/2006/relationships/hyperlink" Target="https://advance.lexis.com/api/document?collection=analytical-materials&amp;id=urn:contentItem:5VYR-G2S0-R03J-T2K6-00000-00&amp;context=" TargetMode="External" /><Relationship Id="rId88" Type="http://schemas.openxmlformats.org/officeDocument/2006/relationships/hyperlink" Target="https://advance.lexis.com/api/document?collection=cases&amp;id=urn:contentItem:4V3V-5VG0-TXFX-537J-00000-00&amp;context=" TargetMode="External" /><Relationship Id="rId89" Type="http://schemas.openxmlformats.org/officeDocument/2006/relationships/hyperlink" Target="https://advance.lexis.com/api/document?collection=cases&amp;id=urn:contentItem:4K49-BFC0-0038-X2RB-00000-00&amp;context=" TargetMode="External" /><Relationship Id="rId9" Type="http://schemas.openxmlformats.org/officeDocument/2006/relationships/hyperlink" Target="https://advance.lexis.com/api/document?collection=cases&amp;id=urn:contentItem:3S4X-9J90-003B-S359-00000-00&amp;context=" TargetMode="External" /><Relationship Id="rId90" Type="http://schemas.openxmlformats.org/officeDocument/2006/relationships/hyperlink" Target="https://advance.lexis.com/api/document?collection=cases&amp;id=urn:contentItem:4J4N-BMV0-TVT2-22J4-00000-00&amp;context=" TargetMode="External" /><Relationship Id="rId91" Type="http://schemas.openxmlformats.org/officeDocument/2006/relationships/hyperlink" Target="https://advance.lexis.com/api/document?collection=cases&amp;id=urn:contentItem:55V4-F1J1-F04K-V1R5-00000-00&amp;context=" TargetMode="External" /><Relationship Id="rId92" Type="http://schemas.openxmlformats.org/officeDocument/2006/relationships/hyperlink" Target="https://advance.lexis.com/api/document?collection=cases&amp;id=urn:contentItem:4H0C-JCV0-0038-X38Y-00000-00&amp;context=" TargetMode="External" /><Relationship Id="rId93" Type="http://schemas.openxmlformats.org/officeDocument/2006/relationships/hyperlink" Target="https://advance.lexis.com/api/document?collection=cases&amp;id=urn:contentItem:5HWV-2BF1-F04K-V1P3-00000-00&amp;context=" TargetMode="External" /><Relationship Id="rId94" Type="http://schemas.openxmlformats.org/officeDocument/2006/relationships/hyperlink" Target="https://advance.lexis.com/api/document?collection=cases&amp;id=urn:contentItem:4GP7-NHP0-0038-X0CW-00000-00&amp;context=" TargetMode="External" /><Relationship Id="rId95" Type="http://schemas.openxmlformats.org/officeDocument/2006/relationships/hyperlink" Target="https://advance.lexis.com/api/document?collection=cases&amp;id=urn:contentItem:4HD8-XW60-0038-X1DH-00000-00&amp;context=" TargetMode="External" /><Relationship Id="rId96" Type="http://schemas.openxmlformats.org/officeDocument/2006/relationships/hyperlink" Target="https://advance.lexis.com/api/document?collection=cases&amp;id=urn:contentItem:4GM4-Y5S0-0038-X4WD-00000-00&amp;context=" TargetMode="External" /><Relationship Id="rId97" Type="http://schemas.openxmlformats.org/officeDocument/2006/relationships/hyperlink" Target="https://advance.lexis.com/api/document?collection=statutes-legislation&amp;id=urn:contentItem:8S6M-T0S2-D6RV-H47Y-00000-00&amp;context=" TargetMode="External" /><Relationship Id="rId98" Type="http://schemas.openxmlformats.org/officeDocument/2006/relationships/hyperlink" Target="https://advance.lexis.com/api/document?collection=cases&amp;id=urn:contentItem:4G96-5KC0-0038-X1RJ-00000-00&amp;context=" TargetMode="External" /><Relationship Id="rId99" Type="http://schemas.openxmlformats.org/officeDocument/2006/relationships/hyperlink" Target="https://advance.lexis.com/api/document?collection=cases&amp;id=urn:contentItem:4M6K-6X50-0038-X33P-00000-00&amp;context="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Immigration Law and Procedure § 104.04</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104937348</vt:lpwstr>
  </property>
  <property fmtid="{D5CDD505-2E9C-101B-9397-08002B2CF9AE}" pid="3" name="LADocCount">
    <vt:i4>2</vt:i4>
  </property>
  <property fmtid="{D5CDD505-2E9C-101B-9397-08002B2CF9AE}" pid="4" name="UserPermID">
    <vt:lpwstr>urn:user:PA187830213</vt:lpwstr>
  </property>
</Properties>
</file>